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8640" w:right="-599" w:firstLine="10"/>
        <w:jc w:val="center"/>
        <w:rPr>
          <w:rFonts w:ascii="Times New Roman" w:hAnsi="Times New Roman" w:eastAsia="Times New Roman"/>
          <w:b/>
          <w:i/>
          <w:sz w:val="24"/>
          <w:szCs w:val="24"/>
        </w:rPr>
      </w:pPr>
      <w:bookmarkStart w:id="0" w:name="_GoBack"/>
      <w:bookmarkEnd w:id="0"/>
      <w:r>
        <w:rPr>
          <w:rFonts w:ascii="Times New Roman" w:hAnsi="Times New Roman" w:eastAsia="Times New Roman"/>
          <w:b/>
          <w:i/>
          <w:sz w:val="24"/>
          <w:szCs w:val="24"/>
        </w:rPr>
        <w:t>Додаток 2</w:t>
      </w:r>
      <w:r>
        <w:rPr>
          <w:rFonts w:ascii="Times New Roman" w:hAnsi="Times New Roman" w:eastAsia="Times New Roman"/>
          <w:b/>
          <w:i/>
          <w:sz w:val="24"/>
          <w:szCs w:val="24"/>
        </w:rPr>
        <w:br w:type="textWrapping"/>
      </w:r>
      <w:r>
        <w:rPr>
          <w:rFonts w:ascii="Times New Roman" w:hAnsi="Times New Roman" w:eastAsia="Times New Roman"/>
          <w:b/>
          <w:i/>
          <w:sz w:val="24"/>
          <w:szCs w:val="24"/>
        </w:rPr>
        <w:t xml:space="preserve">до Звіту за результатами оцінки корупційних ризиків </w:t>
      </w:r>
      <w:r>
        <w:rPr>
          <w:rFonts w:ascii="Times New Roman" w:hAnsi="Times New Roman" w:eastAsia="Times New Roman"/>
          <w:b/>
          <w:i/>
          <w:sz w:val="24"/>
          <w:szCs w:val="24"/>
        </w:rPr>
        <w:br w:type="textWrapping"/>
      </w:r>
      <w:r>
        <w:rPr>
          <w:rFonts w:ascii="Times New Roman" w:hAnsi="Times New Roman" w:eastAsia="Times New Roman"/>
          <w:b/>
          <w:i/>
          <w:sz w:val="24"/>
          <w:szCs w:val="24"/>
        </w:rPr>
        <w:t>у діяльності Центральної виборчої комісії</w:t>
      </w:r>
    </w:p>
    <w:p>
      <w:pPr>
        <w:jc w:val="center"/>
        <w:rPr>
          <w:rFonts w:ascii="Times New Roman" w:hAnsi="Times New Roman" w:eastAsia="Times New Roman"/>
          <w:b/>
          <w:sz w:val="28"/>
          <w:szCs w:val="28"/>
        </w:rPr>
      </w:pPr>
      <w:r>
        <w:rPr>
          <w:rFonts w:ascii="Times New Roman" w:hAnsi="Times New Roman" w:eastAsia="Times New Roman"/>
          <w:b/>
          <w:sz w:val="28"/>
          <w:szCs w:val="28"/>
        </w:rPr>
        <w:t>Оцінені корупційні ризики та заходи щодо їх усунення</w:t>
      </w:r>
    </w:p>
    <w:tbl>
      <w:tblPr>
        <w:tblStyle w:val="4"/>
        <w:tblW w:w="151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108" w:type="dxa"/>
          <w:bottom w:w="28" w:type="dxa"/>
          <w:right w:w="108" w:type="dxa"/>
        </w:tblCellMar>
      </w:tblPr>
      <w:tblGrid>
        <w:gridCol w:w="591"/>
        <w:gridCol w:w="2552"/>
        <w:gridCol w:w="1250"/>
        <w:gridCol w:w="3050"/>
        <w:gridCol w:w="2422"/>
        <w:gridCol w:w="1693"/>
        <w:gridCol w:w="1450"/>
        <w:gridCol w:w="2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blHeader/>
        </w:trPr>
        <w:tc>
          <w:tcPr>
            <w:tcW w:w="591" w:type="dxa"/>
            <w:noWrap w:val="0"/>
            <w:vAlign w:val="center"/>
          </w:tcPr>
          <w:p>
            <w:pPr>
              <w:spacing w:after="0" w:line="240" w:lineRule="auto"/>
              <w:jc w:val="center"/>
              <w:rPr>
                <w:rFonts w:ascii="Times New Roman" w:hAnsi="Times New Roman" w:eastAsia="Times New Roman"/>
                <w:b/>
                <w:sz w:val="18"/>
                <w:szCs w:val="20"/>
              </w:rPr>
            </w:pPr>
            <w:r>
              <w:rPr>
                <w:rFonts w:ascii="Times New Roman" w:hAnsi="Times New Roman" w:eastAsia="Times New Roman"/>
                <w:b/>
                <w:sz w:val="18"/>
                <w:szCs w:val="20"/>
              </w:rPr>
              <w:t>№ з/п</w:t>
            </w:r>
          </w:p>
        </w:tc>
        <w:tc>
          <w:tcPr>
            <w:tcW w:w="2552" w:type="dxa"/>
            <w:noWrap w:val="0"/>
            <w:vAlign w:val="center"/>
          </w:tcPr>
          <w:p>
            <w:pPr>
              <w:spacing w:after="0" w:line="240" w:lineRule="auto"/>
              <w:jc w:val="center"/>
              <w:rPr>
                <w:rFonts w:ascii="Times New Roman" w:hAnsi="Times New Roman" w:eastAsia="Times New Roman"/>
                <w:b/>
                <w:sz w:val="18"/>
                <w:szCs w:val="20"/>
              </w:rPr>
            </w:pPr>
            <w:r>
              <w:rPr>
                <w:rFonts w:ascii="Times New Roman" w:hAnsi="Times New Roman" w:eastAsia="Times New Roman"/>
                <w:b/>
                <w:sz w:val="18"/>
                <w:szCs w:val="20"/>
              </w:rPr>
              <w:t>Корупційний ризик</w:t>
            </w:r>
          </w:p>
        </w:tc>
        <w:tc>
          <w:tcPr>
            <w:tcW w:w="1250" w:type="dxa"/>
            <w:noWrap w:val="0"/>
            <w:vAlign w:val="center"/>
          </w:tcPr>
          <w:p>
            <w:pPr>
              <w:spacing w:after="0" w:line="240" w:lineRule="auto"/>
              <w:jc w:val="center"/>
              <w:rPr>
                <w:rFonts w:ascii="Times New Roman" w:hAnsi="Times New Roman" w:eastAsia="Times New Roman"/>
                <w:b/>
                <w:sz w:val="18"/>
                <w:szCs w:val="20"/>
              </w:rPr>
            </w:pPr>
            <w:r>
              <w:rPr>
                <w:rFonts w:ascii="Times New Roman" w:hAnsi="Times New Roman" w:eastAsia="Times New Roman"/>
                <w:b/>
                <w:sz w:val="18"/>
                <w:szCs w:val="20"/>
              </w:rPr>
              <w:t>Пріоритет-ність корупцій-ного ризику</w:t>
            </w:r>
          </w:p>
        </w:tc>
        <w:tc>
          <w:tcPr>
            <w:tcW w:w="3050" w:type="dxa"/>
            <w:noWrap w:val="0"/>
            <w:vAlign w:val="center"/>
          </w:tcPr>
          <w:p>
            <w:pPr>
              <w:spacing w:after="0" w:line="240" w:lineRule="auto"/>
              <w:jc w:val="center"/>
              <w:rPr>
                <w:rFonts w:ascii="Times New Roman" w:hAnsi="Times New Roman" w:eastAsia="Times New Roman"/>
                <w:b/>
                <w:sz w:val="18"/>
                <w:szCs w:val="20"/>
              </w:rPr>
            </w:pPr>
            <w:r>
              <w:rPr>
                <w:rFonts w:ascii="Times New Roman" w:hAnsi="Times New Roman" w:eastAsia="Times New Roman"/>
                <w:b/>
                <w:sz w:val="18"/>
                <w:szCs w:val="20"/>
              </w:rPr>
              <w:t>Заходи щодо усунення (мінімізації) корупційного ризику</w:t>
            </w:r>
          </w:p>
        </w:tc>
        <w:tc>
          <w:tcPr>
            <w:tcW w:w="2422" w:type="dxa"/>
            <w:noWrap w:val="0"/>
            <w:vAlign w:val="center"/>
          </w:tcPr>
          <w:p>
            <w:pPr>
              <w:spacing w:after="0" w:line="240" w:lineRule="auto"/>
              <w:jc w:val="center"/>
              <w:rPr>
                <w:rFonts w:ascii="Times New Roman" w:hAnsi="Times New Roman" w:eastAsia="Times New Roman"/>
                <w:b/>
                <w:sz w:val="18"/>
                <w:szCs w:val="20"/>
              </w:rPr>
            </w:pPr>
            <w:r>
              <w:rPr>
                <w:rFonts w:ascii="Times New Roman" w:hAnsi="Times New Roman" w:eastAsia="Times New Roman"/>
                <w:b/>
                <w:sz w:val="18"/>
                <w:szCs w:val="20"/>
              </w:rPr>
              <w:t>Особа (особи), відповідальна (-і) за виконання заходу</w:t>
            </w:r>
          </w:p>
        </w:tc>
        <w:tc>
          <w:tcPr>
            <w:tcW w:w="1693" w:type="dxa"/>
            <w:noWrap w:val="0"/>
            <w:vAlign w:val="center"/>
          </w:tcPr>
          <w:p>
            <w:pPr>
              <w:spacing w:after="0" w:line="240" w:lineRule="auto"/>
              <w:jc w:val="center"/>
              <w:rPr>
                <w:rFonts w:ascii="Times New Roman" w:hAnsi="Times New Roman" w:eastAsia="Times New Roman"/>
                <w:b/>
                <w:sz w:val="18"/>
                <w:szCs w:val="20"/>
              </w:rPr>
            </w:pPr>
            <w:r>
              <w:rPr>
                <w:rFonts w:ascii="Times New Roman" w:hAnsi="Times New Roman" w:eastAsia="Times New Roman"/>
                <w:b/>
                <w:sz w:val="18"/>
                <w:szCs w:val="20"/>
              </w:rPr>
              <w:t>Строк виконання заходів щодо усунення корупційного ризику</w:t>
            </w:r>
          </w:p>
        </w:tc>
        <w:tc>
          <w:tcPr>
            <w:tcW w:w="1450" w:type="dxa"/>
            <w:noWrap w:val="0"/>
            <w:vAlign w:val="center"/>
          </w:tcPr>
          <w:p>
            <w:pPr>
              <w:spacing w:after="0" w:line="240" w:lineRule="auto"/>
              <w:jc w:val="center"/>
              <w:rPr>
                <w:rFonts w:ascii="Times New Roman" w:hAnsi="Times New Roman" w:eastAsia="Times New Roman"/>
                <w:b/>
                <w:sz w:val="18"/>
                <w:szCs w:val="20"/>
              </w:rPr>
            </w:pPr>
            <w:r>
              <w:rPr>
                <w:rFonts w:ascii="Times New Roman" w:hAnsi="Times New Roman" w:eastAsia="Times New Roman"/>
                <w:b/>
                <w:sz w:val="18"/>
                <w:szCs w:val="20"/>
              </w:rPr>
              <w:t>Ресурси для впровадження заходів</w:t>
            </w:r>
          </w:p>
        </w:tc>
        <w:tc>
          <w:tcPr>
            <w:tcW w:w="2178" w:type="dxa"/>
            <w:noWrap w:val="0"/>
            <w:vAlign w:val="center"/>
          </w:tcPr>
          <w:p>
            <w:pPr>
              <w:spacing w:after="0" w:line="240" w:lineRule="auto"/>
              <w:jc w:val="center"/>
              <w:rPr>
                <w:rFonts w:ascii="Times New Roman" w:hAnsi="Times New Roman" w:eastAsia="Times New Roman"/>
                <w:b/>
                <w:sz w:val="18"/>
                <w:szCs w:val="20"/>
              </w:rPr>
            </w:pPr>
            <w:r>
              <w:rPr>
                <w:rFonts w:ascii="Times New Roman" w:hAnsi="Times New Roman" w:eastAsia="Times New Roman"/>
                <w:b/>
                <w:sz w:val="18"/>
                <w:szCs w:val="20"/>
              </w:rPr>
              <w:t>Очікувані результати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15186" w:type="dxa"/>
            <w:gridSpan w:val="8"/>
            <w:noWrap w:val="0"/>
            <w:vAlign w:val="top"/>
          </w:tcPr>
          <w:p>
            <w:pPr>
              <w:spacing w:after="0" w:line="240" w:lineRule="auto"/>
              <w:jc w:val="center"/>
              <w:rPr>
                <w:rFonts w:ascii="Times New Roman" w:hAnsi="Times New Roman" w:eastAsia="Times New Roman"/>
                <w:b/>
              </w:rPr>
            </w:pPr>
            <w:r>
              <w:rPr>
                <w:rFonts w:ascii="Times New Roman" w:hAnsi="Times New Roman"/>
                <w:b/>
                <w:sz w:val="24"/>
                <w:szCs w:val="24"/>
              </w:rPr>
              <w:t xml:space="preserve">Організація та контроль за підготовкою та проведенням виборів і референдумів, </w:t>
            </w:r>
            <w:r>
              <w:rPr>
                <w:rFonts w:ascii="Times New Roman" w:hAnsi="Times New Roman"/>
                <w:b/>
                <w:sz w:val="24"/>
                <w:szCs w:val="24"/>
              </w:rPr>
              <w:br w:type="textWrapping"/>
            </w:r>
            <w:r>
              <w:rPr>
                <w:rFonts w:ascii="Times New Roman" w:hAnsi="Times New Roman"/>
                <w:b/>
                <w:sz w:val="24"/>
                <w:szCs w:val="24"/>
              </w:rPr>
              <w:t>здійснення консультативно-методичного забезпечення діяльності виборчих комісій та комісій з референдумів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591" w:type="dxa"/>
            <w:noWrap w:val="0"/>
            <w:vAlign w:val="top"/>
          </w:tcPr>
          <w:p>
            <w:pPr>
              <w:numPr>
                <w:ilvl w:val="0"/>
                <w:numId w:val="3"/>
              </w:numPr>
              <w:spacing w:after="0" w:line="240" w:lineRule="auto"/>
              <w:ind w:left="0" w:firstLine="0"/>
              <w:jc w:val="center"/>
              <w:rPr>
                <w:rFonts w:ascii="Times New Roman" w:hAnsi="Times New Roman" w:eastAsia="Times New Roman"/>
              </w:rPr>
            </w:pPr>
          </w:p>
        </w:tc>
        <w:tc>
          <w:tcPr>
            <w:tcW w:w="2552" w:type="dxa"/>
            <w:noWrap w:val="0"/>
            <w:vAlign w:val="top"/>
          </w:tcPr>
          <w:p>
            <w:pPr>
              <w:tabs>
                <w:tab w:val="left" w:pos="2638"/>
              </w:tabs>
              <w:spacing w:after="0" w:line="240" w:lineRule="auto"/>
              <w:rPr>
                <w:rFonts w:ascii="Times New Roman" w:hAnsi="Times New Roman"/>
                <w:color w:val="000000"/>
              </w:rPr>
            </w:pPr>
            <w:r>
              <w:rPr>
                <w:rFonts w:ascii="Times New Roman" w:hAnsi="Times New Roman"/>
                <w:color w:val="000000"/>
              </w:rPr>
              <w:t>Можливість впливу третіх осіб на члена Комісії під час виконання повноважень щодо організації підготовки і проведення виборів і референдумів</w:t>
            </w:r>
          </w:p>
          <w:p>
            <w:pPr>
              <w:spacing w:after="0" w:line="240" w:lineRule="auto"/>
              <w:rPr>
                <w:rFonts w:ascii="Times New Roman" w:hAnsi="Times New Roman" w:eastAsia="Times New Roman"/>
              </w:rPr>
            </w:pPr>
          </w:p>
        </w:tc>
        <w:tc>
          <w:tcPr>
            <w:tcW w:w="1250" w:type="dxa"/>
            <w:noWrap w:val="0"/>
            <w:vAlign w:val="top"/>
          </w:tcPr>
          <w:p>
            <w:pPr>
              <w:spacing w:after="0" w:line="240" w:lineRule="auto"/>
              <w:rPr>
                <w:rFonts w:ascii="Times New Roman" w:hAnsi="Times New Roman" w:eastAsia="Times New Roman"/>
              </w:rPr>
            </w:pPr>
            <w:r>
              <w:rPr>
                <w:rFonts w:ascii="Times New Roman" w:hAnsi="Times New Roman" w:eastAsia="Times New Roman"/>
              </w:rPr>
              <w:t>Середня</w:t>
            </w:r>
          </w:p>
        </w:tc>
        <w:tc>
          <w:tcPr>
            <w:tcW w:w="3050" w:type="dxa"/>
            <w:noWrap w:val="0"/>
            <w:vAlign w:val="top"/>
          </w:tcPr>
          <w:p>
            <w:pPr>
              <w:numPr>
                <w:ilvl w:val="0"/>
                <w:numId w:val="4"/>
              </w:numPr>
              <w:tabs>
                <w:tab w:val="left" w:pos="185"/>
              </w:tabs>
              <w:spacing w:after="0" w:line="240" w:lineRule="auto"/>
              <w:ind w:left="0" w:firstLine="0"/>
              <w:rPr>
                <w:rFonts w:ascii="Times New Roman" w:hAnsi="Times New Roman"/>
              </w:rPr>
            </w:pPr>
            <w:r>
              <w:rPr>
                <w:rFonts w:ascii="Times New Roman" w:hAnsi="Times New Roman"/>
              </w:rPr>
              <w:t>Забезпечення оприлюднення на офіційному вебсайті Комісії анонсів щодо проведення засідань Комісії.</w:t>
            </w:r>
          </w:p>
          <w:p>
            <w:pPr>
              <w:tabs>
                <w:tab w:val="left" w:pos="185"/>
              </w:tabs>
              <w:spacing w:after="0" w:line="240" w:lineRule="auto"/>
              <w:rPr>
                <w:rFonts w:ascii="Times New Roman" w:hAnsi="Times New Roman"/>
              </w:rPr>
            </w:pPr>
          </w:p>
          <w:p>
            <w:pPr>
              <w:numPr>
                <w:ilvl w:val="0"/>
                <w:numId w:val="4"/>
              </w:numPr>
              <w:tabs>
                <w:tab w:val="left" w:pos="185"/>
              </w:tabs>
              <w:spacing w:after="0" w:line="240" w:lineRule="auto"/>
              <w:ind w:left="0" w:firstLine="0"/>
              <w:rPr>
                <w:rFonts w:ascii="Times New Roman" w:hAnsi="Times New Roman"/>
              </w:rPr>
            </w:pPr>
            <w:r>
              <w:rPr>
                <w:rFonts w:ascii="Times New Roman" w:hAnsi="Times New Roman"/>
              </w:rPr>
              <w:t>Забезпечення онлайн-трансляції засідань Комісії.</w:t>
            </w:r>
          </w:p>
          <w:p>
            <w:pPr>
              <w:tabs>
                <w:tab w:val="left" w:pos="185"/>
              </w:tabs>
              <w:spacing w:after="0" w:line="240" w:lineRule="auto"/>
              <w:rPr>
                <w:rFonts w:ascii="Times New Roman" w:hAnsi="Times New Roman"/>
              </w:rPr>
            </w:pPr>
          </w:p>
          <w:p>
            <w:pPr>
              <w:tabs>
                <w:tab w:val="left" w:pos="185"/>
              </w:tabs>
              <w:spacing w:after="0" w:line="240" w:lineRule="auto"/>
              <w:rPr>
                <w:rFonts w:ascii="Times New Roman" w:hAnsi="Times New Roman"/>
              </w:rPr>
            </w:pPr>
          </w:p>
          <w:p>
            <w:pPr>
              <w:numPr>
                <w:ilvl w:val="0"/>
                <w:numId w:val="4"/>
              </w:numPr>
              <w:tabs>
                <w:tab w:val="left" w:pos="185"/>
              </w:tabs>
              <w:spacing w:after="0" w:line="240" w:lineRule="auto"/>
              <w:ind w:left="0" w:firstLine="0"/>
              <w:rPr>
                <w:rFonts w:ascii="Times New Roman" w:hAnsi="Times New Roman"/>
              </w:rPr>
            </w:pPr>
            <w:r>
              <w:rPr>
                <w:rFonts w:ascii="Times New Roman" w:hAnsi="Times New Roman"/>
              </w:rPr>
              <w:t>Забезпечення оприлюднення на офіційному вебсайті Комісії її рішень за результатами засідань Комісії</w:t>
            </w:r>
          </w:p>
        </w:tc>
        <w:tc>
          <w:tcPr>
            <w:tcW w:w="2422" w:type="dxa"/>
            <w:noWrap w:val="0"/>
            <w:vAlign w:val="top"/>
          </w:tcPr>
          <w:p>
            <w:pPr>
              <w:spacing w:after="0" w:line="240" w:lineRule="auto"/>
              <w:rPr>
                <w:rFonts w:ascii="Times New Roman" w:hAnsi="Times New Roman" w:eastAsia="Times New Roman"/>
              </w:rPr>
            </w:pPr>
            <w:r>
              <w:rPr>
                <w:rFonts w:ascii="Times New Roman" w:hAnsi="Times New Roman" w:eastAsia="Times New Roman"/>
              </w:rPr>
              <w:t>Управління комунікації Секретаріату Комісії.</w:t>
            </w: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r>
              <w:rPr>
                <w:rFonts w:ascii="Times New Roman" w:hAnsi="Times New Roman" w:eastAsia="Times New Roman"/>
              </w:rPr>
              <w:t>Управління інформатизації Секретаріату Комісії.</w:t>
            </w: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r>
              <w:rPr>
                <w:rFonts w:ascii="Times New Roman" w:hAnsi="Times New Roman" w:eastAsia="Times New Roman"/>
              </w:rPr>
              <w:t>Управління документообігу та забезпечення засідань Комісії Секретаріату Комісії</w:t>
            </w:r>
          </w:p>
        </w:tc>
        <w:tc>
          <w:tcPr>
            <w:tcW w:w="1693"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Напередодні проведення засідання Комісії.</w:t>
            </w: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r>
              <w:rPr>
                <w:rFonts w:ascii="Times New Roman" w:hAnsi="Times New Roman" w:eastAsia="Times New Roman"/>
                <w:color w:val="000000"/>
              </w:rPr>
              <w:t>Під час засідань Комісії.</w:t>
            </w: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r>
              <w:rPr>
                <w:rFonts w:ascii="Times New Roman" w:hAnsi="Times New Roman" w:eastAsia="Times New Roman"/>
                <w:color w:val="000000"/>
              </w:rPr>
              <w:t>Після засідань Комісії</w:t>
            </w:r>
          </w:p>
        </w:tc>
        <w:tc>
          <w:tcPr>
            <w:tcW w:w="1450"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Не потребує додаткових ресурсів</w:t>
            </w: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tc>
        <w:tc>
          <w:tcPr>
            <w:tcW w:w="2178" w:type="dxa"/>
            <w:noWrap w:val="0"/>
            <w:vAlign w:val="top"/>
          </w:tcPr>
          <w:p>
            <w:pPr>
              <w:spacing w:after="0" w:line="240" w:lineRule="auto"/>
              <w:rPr>
                <w:rFonts w:ascii="Times New Roman" w:hAnsi="Times New Roman"/>
              </w:rPr>
            </w:pPr>
            <w:r>
              <w:rPr>
                <w:rFonts w:ascii="Times New Roman" w:hAnsi="Times New Roman"/>
              </w:rPr>
              <w:t>Забезпечено оприлюднення на офіційному вебсайті Комісії анонсів щодо проведення засідань Комісії.</w:t>
            </w:r>
          </w:p>
          <w:p>
            <w:pPr>
              <w:spacing w:after="0" w:line="240" w:lineRule="auto"/>
              <w:rPr>
                <w:rFonts w:ascii="Times New Roman" w:hAnsi="Times New Roman"/>
              </w:rPr>
            </w:pPr>
            <w:r>
              <w:rPr>
                <w:rFonts w:ascii="Times New Roman" w:hAnsi="Times New Roman"/>
              </w:rPr>
              <w:t>Забезпечено онлайн-трансляції засідань Комісії.</w:t>
            </w:r>
          </w:p>
          <w:p>
            <w:pPr>
              <w:spacing w:after="0" w:line="240" w:lineRule="auto"/>
              <w:rPr>
                <w:rFonts w:ascii="Times New Roman" w:hAnsi="Times New Roman"/>
                <w:color w:val="000000"/>
              </w:rPr>
            </w:pPr>
            <w:r>
              <w:rPr>
                <w:rFonts w:ascii="Times New Roman" w:hAnsi="Times New Roman"/>
              </w:rPr>
              <w:t>Забезпечено оприлюднення на офіційному вебсайті Комісії її рішень за результатами засідань Комісії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591" w:type="dxa"/>
            <w:noWrap w:val="0"/>
            <w:vAlign w:val="top"/>
          </w:tcPr>
          <w:p>
            <w:pPr>
              <w:numPr>
                <w:ilvl w:val="0"/>
                <w:numId w:val="3"/>
              </w:numPr>
              <w:spacing w:after="0" w:line="240" w:lineRule="auto"/>
              <w:ind w:left="0" w:firstLine="0"/>
              <w:jc w:val="center"/>
              <w:rPr>
                <w:rFonts w:ascii="Times New Roman" w:hAnsi="Times New Roman" w:eastAsia="Times New Roman"/>
              </w:rPr>
            </w:pPr>
          </w:p>
        </w:tc>
        <w:tc>
          <w:tcPr>
            <w:tcW w:w="2552" w:type="dxa"/>
            <w:noWrap w:val="0"/>
            <w:vAlign w:val="top"/>
          </w:tcPr>
          <w:p>
            <w:pPr>
              <w:spacing w:after="0" w:line="240" w:lineRule="auto"/>
              <w:rPr>
                <w:rFonts w:ascii="Times New Roman" w:hAnsi="Times New Roman" w:eastAsia="Times New Roman"/>
              </w:rPr>
            </w:pPr>
            <w:r>
              <w:rPr>
                <w:rFonts w:ascii="Times New Roman" w:hAnsi="Times New Roman" w:eastAsia="Times New Roman"/>
              </w:rPr>
              <w:t>Можливе задоволення приватних інтересів під час опрацювання запитів на публічну інформацію, звернень учасників виборчих та референдумного процесів, звернень з питань проведення виборів тощо</w:t>
            </w:r>
          </w:p>
        </w:tc>
        <w:tc>
          <w:tcPr>
            <w:tcW w:w="1250" w:type="dxa"/>
            <w:noWrap w:val="0"/>
            <w:vAlign w:val="top"/>
          </w:tcPr>
          <w:p>
            <w:pPr>
              <w:spacing w:after="0" w:line="240" w:lineRule="auto"/>
              <w:rPr>
                <w:rFonts w:ascii="Times New Roman" w:hAnsi="Times New Roman" w:eastAsia="Times New Roman"/>
              </w:rPr>
            </w:pPr>
            <w:r>
              <w:rPr>
                <w:rFonts w:ascii="Times New Roman" w:hAnsi="Times New Roman" w:eastAsia="Times New Roman"/>
              </w:rPr>
              <w:t>Низька</w:t>
            </w:r>
          </w:p>
        </w:tc>
        <w:tc>
          <w:tcPr>
            <w:tcW w:w="3050" w:type="dxa"/>
            <w:noWrap w:val="0"/>
            <w:vAlign w:val="top"/>
          </w:tcPr>
          <w:p>
            <w:pPr>
              <w:numPr>
                <w:ilvl w:val="0"/>
                <w:numId w:val="5"/>
              </w:numPr>
              <w:tabs>
                <w:tab w:val="left" w:pos="199"/>
              </w:tabs>
              <w:spacing w:after="0" w:line="240" w:lineRule="auto"/>
              <w:ind w:left="0" w:firstLine="0"/>
              <w:rPr>
                <w:rFonts w:ascii="Times New Roman" w:hAnsi="Times New Roman"/>
              </w:rPr>
            </w:pPr>
            <w:r>
              <w:rPr>
                <w:rFonts w:ascii="Times New Roman" w:hAnsi="Times New Roman"/>
              </w:rPr>
              <w:t>Запровадження системи електронного документообігу.</w:t>
            </w:r>
          </w:p>
          <w:p>
            <w:pPr>
              <w:spacing w:after="0" w:line="240" w:lineRule="auto"/>
              <w:rPr>
                <w:rFonts w:ascii="Times New Roman" w:hAnsi="Times New Roman"/>
              </w:rPr>
            </w:pPr>
          </w:p>
          <w:p>
            <w:pPr>
              <w:spacing w:after="0" w:line="240" w:lineRule="auto"/>
              <w:rPr>
                <w:rFonts w:ascii="Times New Roman" w:hAnsi="Times New Roman"/>
              </w:rPr>
            </w:pPr>
          </w:p>
          <w:p>
            <w:pPr>
              <w:spacing w:after="0" w:line="240" w:lineRule="auto"/>
              <w:rPr>
                <w:rFonts w:ascii="Times New Roman" w:hAnsi="Times New Roman"/>
              </w:rPr>
            </w:pPr>
          </w:p>
          <w:p>
            <w:pPr>
              <w:spacing w:after="0" w:line="240" w:lineRule="auto"/>
              <w:rPr>
                <w:rFonts w:ascii="Times New Roman" w:hAnsi="Times New Roman"/>
              </w:rPr>
            </w:pPr>
          </w:p>
          <w:p>
            <w:pPr>
              <w:numPr>
                <w:ilvl w:val="0"/>
                <w:numId w:val="5"/>
              </w:numPr>
              <w:tabs>
                <w:tab w:val="left" w:pos="199"/>
              </w:tabs>
              <w:spacing w:after="0" w:line="240" w:lineRule="auto"/>
              <w:ind w:left="0" w:firstLine="0"/>
              <w:rPr>
                <w:rFonts w:ascii="Times New Roman" w:hAnsi="Times New Roman"/>
              </w:rPr>
            </w:pPr>
            <w:r>
              <w:rPr>
                <w:rFonts w:ascii="Times New Roman" w:hAnsi="Times New Roman"/>
              </w:rPr>
              <w:t>Встановлення додаткового контролю за дотриманням антикорупційного законодавства під час розгляду запитів, звернень шляхом періодичного моніторингу відповідних запитів, звернень, листів-відповідей на них та звітування перед Головою Комісії, керівником Секретаріату Комісії про результати моніторингу (у разі встановлення порушень антикорупційного законодавства).</w:t>
            </w:r>
          </w:p>
          <w:p>
            <w:pPr>
              <w:tabs>
                <w:tab w:val="left" w:pos="199"/>
              </w:tabs>
              <w:spacing w:after="0" w:line="240" w:lineRule="auto"/>
              <w:rPr>
                <w:rFonts w:ascii="Times New Roman" w:hAnsi="Times New Roman"/>
              </w:rPr>
            </w:pPr>
          </w:p>
          <w:p>
            <w:pPr>
              <w:numPr>
                <w:ilvl w:val="0"/>
                <w:numId w:val="5"/>
              </w:numPr>
              <w:tabs>
                <w:tab w:val="left" w:pos="199"/>
              </w:tabs>
              <w:spacing w:after="0" w:line="240" w:lineRule="auto"/>
              <w:ind w:left="0" w:firstLine="0"/>
              <w:rPr>
                <w:rFonts w:ascii="Times New Roman" w:hAnsi="Times New Roman"/>
              </w:rPr>
            </w:pPr>
            <w:r>
              <w:rPr>
                <w:rFonts w:ascii="Times New Roman" w:hAnsi="Times New Roman"/>
              </w:rPr>
              <w:t>Забезпечення опрацювання запитів на публічну інформацію, звернень учасників виборчих та референдумного процесів, звернень з питань підготовки та проведення виборів і референдумів тощо та підготовки відповідей на них кількома структурними підрозділами Секретаріату Комісії в межах їх компетенції</w:t>
            </w:r>
          </w:p>
        </w:tc>
        <w:tc>
          <w:tcPr>
            <w:tcW w:w="2422" w:type="dxa"/>
            <w:noWrap w:val="0"/>
            <w:vAlign w:val="top"/>
          </w:tcPr>
          <w:p>
            <w:pPr>
              <w:spacing w:after="0" w:line="240" w:lineRule="auto"/>
              <w:rPr>
                <w:rFonts w:ascii="Times New Roman" w:hAnsi="Times New Roman" w:eastAsia="Times New Roman"/>
              </w:rPr>
            </w:pPr>
            <w:r>
              <w:rPr>
                <w:rFonts w:ascii="Times New Roman" w:hAnsi="Times New Roman" w:eastAsia="Times New Roman"/>
              </w:rPr>
              <w:t>Керівник Секретаріату Комісії,             керівники структурних підрозділів Секретаріату Комісії в межах компетенції.</w:t>
            </w: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r>
              <w:rPr>
                <w:rFonts w:ascii="Times New Roman" w:hAnsi="Times New Roman" w:eastAsia="Times New Roman"/>
              </w:rPr>
              <w:t>Керівники структурних підрозділів Секретаріату Комісії в межах компетенції, сектор з питань запобігання та виявлення корупції Секретаріату Комісії.</w:t>
            </w: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r>
              <w:rPr>
                <w:rFonts w:ascii="Times New Roman" w:hAnsi="Times New Roman" w:eastAsia="Times New Roman"/>
              </w:rPr>
              <w:t>Керівництво Секретаріату Комісії, керівники структурних підрозділів Секретаріату Комісії в межах компетенції</w:t>
            </w:r>
          </w:p>
        </w:tc>
        <w:tc>
          <w:tcPr>
            <w:tcW w:w="1693"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 xml:space="preserve">Перше півріччя </w:t>
            </w:r>
            <w:r>
              <w:rPr>
                <w:rFonts w:ascii="Times New Roman" w:hAnsi="Times New Roman" w:eastAsia="Times New Roman"/>
                <w:color w:val="000000"/>
              </w:rPr>
              <w:br w:type="textWrapping"/>
            </w:r>
            <w:r>
              <w:rPr>
                <w:rFonts w:ascii="Times New Roman" w:hAnsi="Times New Roman" w:eastAsia="Times New Roman"/>
                <w:color w:val="000000"/>
              </w:rPr>
              <w:t>2022 року.</w:t>
            </w: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r>
              <w:rPr>
                <w:rFonts w:ascii="Times New Roman" w:hAnsi="Times New Roman" w:eastAsia="Times New Roman"/>
                <w:color w:val="000000"/>
              </w:rPr>
              <w:t>Щокварталу.</w:t>
            </w: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r>
              <w:rPr>
                <w:rFonts w:ascii="Times New Roman" w:hAnsi="Times New Roman" w:eastAsia="Times New Roman"/>
                <w:color w:val="000000"/>
              </w:rPr>
              <w:t xml:space="preserve">Під час </w:t>
            </w:r>
            <w:r>
              <w:rPr>
                <w:rFonts w:ascii="Times New Roman" w:hAnsi="Times New Roman" w:eastAsia="Times New Roman"/>
              </w:rPr>
              <w:t xml:space="preserve">опрацювання запитів на публічну інформацію, звернень учасників виборчих та </w:t>
            </w:r>
            <w:r>
              <w:rPr>
                <w:rFonts w:ascii="Times New Roman" w:hAnsi="Times New Roman" w:eastAsia="Times New Roman"/>
                <w:spacing w:val="-6"/>
              </w:rPr>
              <w:t>референдумно-го</w:t>
            </w:r>
            <w:r>
              <w:rPr>
                <w:rFonts w:ascii="Times New Roman" w:hAnsi="Times New Roman" w:eastAsia="Times New Roman"/>
              </w:rPr>
              <w:t xml:space="preserve"> процесів, звернень з питань підготовки та проведення виборів і референдумів тощо та підготовки відповідей на них</w:t>
            </w:r>
          </w:p>
        </w:tc>
        <w:tc>
          <w:tcPr>
            <w:tcW w:w="1450"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Потребує додаткових ресурсів.</w:t>
            </w: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r>
              <w:rPr>
                <w:rFonts w:ascii="Times New Roman" w:hAnsi="Times New Roman" w:eastAsia="Times New Roman"/>
                <w:color w:val="000000"/>
              </w:rPr>
              <w:t>Не потребує додаткових ресурсів.</w:t>
            </w: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tc>
        <w:tc>
          <w:tcPr>
            <w:tcW w:w="2178"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 xml:space="preserve">Запроваджено систему електронного документообігу. Установлено додатковий контроль. </w:t>
            </w:r>
            <w:r>
              <w:rPr>
                <w:rFonts w:ascii="Times New Roman" w:hAnsi="Times New Roman" w:eastAsia="Times New Roman"/>
              </w:rPr>
              <w:t>Забезпечено опрацювання запитів на публічну інформацію, звернень учасників виборчих та референдумного процесів, звернень з питань підготовки та проведення виборів і референдумів тощо та підготовки відповідей на них кількома структурними підрозділами Секретаріату Комісії в межах їх компетенції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591" w:type="dxa"/>
            <w:noWrap w:val="0"/>
            <w:vAlign w:val="top"/>
          </w:tcPr>
          <w:p>
            <w:pPr>
              <w:pageBreakBefore/>
              <w:widowControl w:val="0"/>
              <w:numPr>
                <w:ilvl w:val="0"/>
                <w:numId w:val="3"/>
              </w:numPr>
              <w:spacing w:after="0" w:line="240" w:lineRule="auto"/>
              <w:ind w:left="0" w:firstLine="0"/>
              <w:jc w:val="center"/>
              <w:rPr>
                <w:rFonts w:ascii="Times New Roman" w:hAnsi="Times New Roman" w:eastAsia="Times New Roman"/>
              </w:rPr>
            </w:pPr>
          </w:p>
        </w:tc>
        <w:tc>
          <w:tcPr>
            <w:tcW w:w="2552" w:type="dxa"/>
            <w:noWrap w:val="0"/>
            <w:vAlign w:val="top"/>
          </w:tcPr>
          <w:p>
            <w:pPr>
              <w:pageBreakBefore/>
              <w:widowControl w:val="0"/>
              <w:spacing w:after="0" w:line="240" w:lineRule="auto"/>
              <w:rPr>
                <w:rFonts w:ascii="Times New Roman" w:hAnsi="Times New Roman" w:eastAsia="Times New Roman"/>
              </w:rPr>
            </w:pPr>
            <w:r>
              <w:rPr>
                <w:rFonts w:ascii="Times New Roman" w:hAnsi="Times New Roman"/>
                <w:color w:val="000000"/>
              </w:rPr>
              <w:t>Можливе задоволення приватного інтересу працівниками Секретаріату Комісії під час приймання та опрацювання документів для реєстрації кандидатів на пост Президента України, кандидатів у народні депутати України, уповноважених і довірених осіб</w:t>
            </w:r>
          </w:p>
        </w:tc>
        <w:tc>
          <w:tcPr>
            <w:tcW w:w="1250" w:type="dxa"/>
            <w:noWrap w:val="0"/>
            <w:vAlign w:val="top"/>
          </w:tcPr>
          <w:p>
            <w:pPr>
              <w:pageBreakBefore/>
              <w:widowControl w:val="0"/>
              <w:spacing w:after="0" w:line="240" w:lineRule="auto"/>
              <w:rPr>
                <w:rFonts w:ascii="Times New Roman" w:hAnsi="Times New Roman" w:eastAsia="Times New Roman"/>
              </w:rPr>
            </w:pPr>
            <w:r>
              <w:rPr>
                <w:rFonts w:ascii="Times New Roman" w:hAnsi="Times New Roman" w:eastAsia="Times New Roman"/>
              </w:rPr>
              <w:t>Низька</w:t>
            </w:r>
          </w:p>
        </w:tc>
        <w:tc>
          <w:tcPr>
            <w:tcW w:w="3050" w:type="dxa"/>
            <w:noWrap w:val="0"/>
            <w:vAlign w:val="top"/>
          </w:tcPr>
          <w:p>
            <w:pPr>
              <w:pageBreakBefore/>
              <w:widowControl w:val="0"/>
              <w:spacing w:after="0" w:line="240" w:lineRule="auto"/>
              <w:rPr>
                <w:rFonts w:ascii="Times New Roman" w:hAnsi="Times New Roman"/>
              </w:rPr>
            </w:pPr>
            <w:r>
              <w:rPr>
                <w:rFonts w:ascii="Times New Roman" w:hAnsi="Times New Roman"/>
              </w:rPr>
              <w:t>Залучення до приймання та опрацювання документів працівників різних структурних підрозділів Секретаріату Комісії: юридичного управління, управління організації підготовки та проведення виборів і референдумів, управління консультативно-методичного забезпечення та інших</w:t>
            </w:r>
          </w:p>
        </w:tc>
        <w:tc>
          <w:tcPr>
            <w:tcW w:w="2422" w:type="dxa"/>
            <w:noWrap w:val="0"/>
            <w:vAlign w:val="top"/>
          </w:tcPr>
          <w:p>
            <w:pPr>
              <w:pageBreakBefore/>
              <w:widowControl w:val="0"/>
              <w:spacing w:after="0" w:line="240" w:lineRule="auto"/>
              <w:rPr>
                <w:rFonts w:ascii="Times New Roman" w:hAnsi="Times New Roman" w:eastAsia="Times New Roman"/>
              </w:rPr>
            </w:pPr>
            <w:r>
              <w:rPr>
                <w:rFonts w:ascii="Times New Roman" w:hAnsi="Times New Roman" w:eastAsia="Times New Roman"/>
              </w:rPr>
              <w:t xml:space="preserve">Керівництво Секретаріату Комісії, юридичне управління, управління організації підготовки та проведення виборів і референдумів, управління консультативно-методичного забезпечення Секретаріату Комісії,   керівники інших структурних підрозділів Секретаріату Комісії </w:t>
            </w:r>
          </w:p>
        </w:tc>
        <w:tc>
          <w:tcPr>
            <w:tcW w:w="1693" w:type="dxa"/>
            <w:noWrap w:val="0"/>
            <w:vAlign w:val="top"/>
          </w:tcPr>
          <w:p>
            <w:pPr>
              <w:pageBreakBefore/>
              <w:widowControl w:val="0"/>
              <w:spacing w:after="0" w:line="240" w:lineRule="auto"/>
              <w:rPr>
                <w:rFonts w:ascii="Times New Roman" w:hAnsi="Times New Roman" w:eastAsia="Times New Roman"/>
                <w:color w:val="000000"/>
              </w:rPr>
            </w:pPr>
            <w:r>
              <w:rPr>
                <w:rFonts w:ascii="Times New Roman" w:hAnsi="Times New Roman"/>
              </w:rPr>
              <w:t>Під час приймання документів для реєстрації кандидатів на пост Президента України, кандидатів у народні депутати України, уповноважених і довірених осіб</w:t>
            </w:r>
          </w:p>
        </w:tc>
        <w:tc>
          <w:tcPr>
            <w:tcW w:w="1450" w:type="dxa"/>
            <w:noWrap w:val="0"/>
            <w:vAlign w:val="top"/>
          </w:tcPr>
          <w:p>
            <w:pPr>
              <w:pageBreakBefore/>
              <w:widowControl w:val="0"/>
              <w:spacing w:after="0" w:line="240" w:lineRule="auto"/>
              <w:rPr>
                <w:rFonts w:ascii="Times New Roman" w:hAnsi="Times New Roman" w:eastAsia="Times New Roman"/>
                <w:color w:val="000000"/>
              </w:rPr>
            </w:pPr>
            <w:r>
              <w:rPr>
                <w:rFonts w:ascii="Times New Roman" w:hAnsi="Times New Roman" w:eastAsia="Times New Roman"/>
                <w:color w:val="000000"/>
              </w:rPr>
              <w:t>Не потребує додаткових ресурсів</w:t>
            </w:r>
          </w:p>
          <w:p>
            <w:pPr>
              <w:pageBreakBefore/>
              <w:widowControl w:val="0"/>
              <w:spacing w:after="0" w:line="240" w:lineRule="auto"/>
              <w:rPr>
                <w:rFonts w:ascii="Times New Roman" w:hAnsi="Times New Roman" w:eastAsia="Times New Roman"/>
                <w:color w:val="000000"/>
              </w:rPr>
            </w:pPr>
          </w:p>
        </w:tc>
        <w:tc>
          <w:tcPr>
            <w:tcW w:w="2178" w:type="dxa"/>
            <w:noWrap w:val="0"/>
            <w:vAlign w:val="top"/>
          </w:tcPr>
          <w:p>
            <w:pPr>
              <w:pageBreakBefore/>
              <w:widowControl w:val="0"/>
              <w:spacing w:after="0" w:line="240" w:lineRule="auto"/>
              <w:rPr>
                <w:rFonts w:ascii="Times New Roman" w:hAnsi="Times New Roman"/>
                <w:color w:val="000000"/>
              </w:rPr>
            </w:pPr>
            <w:r>
              <w:rPr>
                <w:rFonts w:ascii="Times New Roman" w:hAnsi="Times New Roman"/>
              </w:rPr>
              <w:t xml:space="preserve">Працівників різних структурних підрозділів Секретаріату Комісії залучено до приймання та опрацювання </w:t>
            </w:r>
            <w:r>
              <w:rPr>
                <w:rFonts w:ascii="Times New Roman" w:hAnsi="Times New Roman"/>
                <w:color w:val="000000"/>
              </w:rPr>
              <w:t xml:space="preserve">документів для реєстрації кандидатів на пост Президента України, кандидатів у народні депутати України, уповноважених і довірених осіб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591" w:type="dxa"/>
            <w:noWrap w:val="0"/>
            <w:vAlign w:val="top"/>
          </w:tcPr>
          <w:p>
            <w:pPr>
              <w:numPr>
                <w:ilvl w:val="0"/>
                <w:numId w:val="3"/>
              </w:numPr>
              <w:spacing w:after="0" w:line="240" w:lineRule="auto"/>
              <w:ind w:left="0" w:firstLine="0"/>
              <w:jc w:val="center"/>
              <w:rPr>
                <w:rFonts w:ascii="Times New Roman" w:hAnsi="Times New Roman" w:eastAsia="Times New Roman"/>
              </w:rPr>
            </w:pPr>
          </w:p>
        </w:tc>
        <w:tc>
          <w:tcPr>
            <w:tcW w:w="2552" w:type="dxa"/>
            <w:noWrap w:val="0"/>
            <w:vAlign w:val="top"/>
          </w:tcPr>
          <w:p>
            <w:pPr>
              <w:spacing w:after="0" w:line="240" w:lineRule="auto"/>
              <w:rPr>
                <w:rFonts w:ascii="Times New Roman" w:hAnsi="Times New Roman"/>
              </w:rPr>
            </w:pPr>
            <w:r>
              <w:rPr>
                <w:rFonts w:ascii="Times New Roman" w:hAnsi="Times New Roman"/>
              </w:rPr>
              <w:t xml:space="preserve">Можливе задоволення приватного інтересу членами Комісії, працівниками Секретаріату Комісії (інтересу третіх осіб) під час </w:t>
            </w:r>
            <w:r>
              <w:rPr>
                <w:rFonts w:ascii="Times New Roman" w:hAnsi="Times New Roman"/>
                <w:color w:val="000000"/>
              </w:rPr>
              <w:t>приймання та опрацювання</w:t>
            </w:r>
            <w:r>
              <w:rPr>
                <w:rFonts w:ascii="Times New Roman" w:hAnsi="Times New Roman"/>
              </w:rPr>
              <w:t xml:space="preserve"> документів щодо формування (зміни) складу окружних, територіальних виборчих комісій та підготовки проєктів відповідних рішень Комісії</w:t>
            </w:r>
          </w:p>
        </w:tc>
        <w:tc>
          <w:tcPr>
            <w:tcW w:w="1250" w:type="dxa"/>
            <w:noWrap w:val="0"/>
            <w:vAlign w:val="top"/>
          </w:tcPr>
          <w:p>
            <w:pPr>
              <w:spacing w:after="0" w:line="240" w:lineRule="auto"/>
              <w:rPr>
                <w:rFonts w:ascii="Times New Roman" w:hAnsi="Times New Roman" w:eastAsia="Times New Roman"/>
              </w:rPr>
            </w:pPr>
            <w:r>
              <w:rPr>
                <w:rFonts w:ascii="Times New Roman" w:hAnsi="Times New Roman" w:eastAsia="Times New Roman"/>
              </w:rPr>
              <w:t>Середня</w:t>
            </w:r>
          </w:p>
        </w:tc>
        <w:tc>
          <w:tcPr>
            <w:tcW w:w="3050" w:type="dxa"/>
            <w:noWrap w:val="0"/>
            <w:vAlign w:val="top"/>
          </w:tcPr>
          <w:p>
            <w:pPr>
              <w:spacing w:after="0" w:line="240" w:lineRule="auto"/>
              <w:rPr>
                <w:rFonts w:ascii="Times New Roman" w:hAnsi="Times New Roman"/>
              </w:rPr>
            </w:pPr>
            <w:r>
              <w:rPr>
                <w:rFonts w:ascii="Times New Roman" w:hAnsi="Times New Roman"/>
              </w:rPr>
              <w:t xml:space="preserve">Забезпечення контролю за </w:t>
            </w:r>
            <w:r>
              <w:rPr>
                <w:rFonts w:ascii="Times New Roman" w:hAnsi="Times New Roman"/>
                <w:color w:val="000000"/>
              </w:rPr>
              <w:t>прийманням та опрацюванням</w:t>
            </w:r>
            <w:r>
              <w:rPr>
                <w:rFonts w:ascii="Times New Roman" w:hAnsi="Times New Roman"/>
              </w:rPr>
              <w:t xml:space="preserve"> документів щодо формування (зміни) складу окружних, територіальних виборчих комісій та підготовкою проєктів відповідних рішень Комісії на різних рівнях управління Секретаріатом Комісії</w:t>
            </w:r>
          </w:p>
        </w:tc>
        <w:tc>
          <w:tcPr>
            <w:tcW w:w="2422" w:type="dxa"/>
            <w:noWrap w:val="0"/>
            <w:vAlign w:val="top"/>
          </w:tcPr>
          <w:p>
            <w:pPr>
              <w:spacing w:after="0" w:line="240" w:lineRule="auto"/>
              <w:rPr>
                <w:rFonts w:ascii="Times New Roman" w:hAnsi="Times New Roman" w:eastAsia="Times New Roman"/>
              </w:rPr>
            </w:pPr>
            <w:r>
              <w:rPr>
                <w:rFonts w:ascii="Times New Roman" w:hAnsi="Times New Roman" w:eastAsia="Times New Roman"/>
              </w:rPr>
              <w:t xml:space="preserve">Члени Комісії, керівництво Секретаріату Комісії, керівники структурних підрозділів Секретаріату Комісії, які входять до складу самостійних структурних підрозділів Секретаріату Комісії, керівники самостійних структурних підрозділів Секретаріату Комісії </w:t>
            </w:r>
          </w:p>
        </w:tc>
        <w:tc>
          <w:tcPr>
            <w:tcW w:w="1693" w:type="dxa"/>
            <w:noWrap w:val="0"/>
            <w:vAlign w:val="top"/>
          </w:tcPr>
          <w:p>
            <w:pPr>
              <w:spacing w:after="0" w:line="240" w:lineRule="auto"/>
              <w:rPr>
                <w:rFonts w:ascii="Times New Roman" w:hAnsi="Times New Roman" w:eastAsia="Times New Roman"/>
                <w:color w:val="000000"/>
              </w:rPr>
            </w:pPr>
            <w:r>
              <w:rPr>
                <w:rFonts w:ascii="Times New Roman" w:hAnsi="Times New Roman"/>
              </w:rPr>
              <w:t xml:space="preserve">Під час </w:t>
            </w:r>
            <w:r>
              <w:rPr>
                <w:rFonts w:ascii="Times New Roman" w:hAnsi="Times New Roman"/>
                <w:color w:val="000000"/>
              </w:rPr>
              <w:t>приймання та опрацювання</w:t>
            </w:r>
            <w:r>
              <w:rPr>
                <w:rFonts w:ascii="Times New Roman" w:hAnsi="Times New Roman"/>
              </w:rPr>
              <w:t xml:space="preserve"> документів щодо формування (зміни) складу окружних, територіальних виборчих комісій та підготовки проєктів відповідних рішень Комісії</w:t>
            </w:r>
          </w:p>
        </w:tc>
        <w:tc>
          <w:tcPr>
            <w:tcW w:w="1450"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Не потребує додаткових ресурсів</w:t>
            </w:r>
          </w:p>
          <w:p>
            <w:pPr>
              <w:spacing w:after="0" w:line="240" w:lineRule="auto"/>
              <w:rPr>
                <w:rFonts w:ascii="Times New Roman" w:hAnsi="Times New Roman" w:eastAsia="Times New Roman"/>
                <w:color w:val="000000"/>
              </w:rPr>
            </w:pPr>
          </w:p>
        </w:tc>
        <w:tc>
          <w:tcPr>
            <w:tcW w:w="2178"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 xml:space="preserve">Здійснено контроль на різних рівнях управління Секретаріату Комісії, а також членами Комісії  за </w:t>
            </w:r>
            <w:r>
              <w:rPr>
                <w:rFonts w:ascii="Times New Roman" w:hAnsi="Times New Roman"/>
                <w:color w:val="000000"/>
              </w:rPr>
              <w:t>прийманням та опрацюванням</w:t>
            </w:r>
            <w:r>
              <w:rPr>
                <w:rFonts w:ascii="Times New Roman" w:hAnsi="Times New Roman"/>
              </w:rPr>
              <w:t xml:space="preserve"> </w:t>
            </w:r>
            <w:r>
              <w:rPr>
                <w:rFonts w:ascii="Times New Roman" w:hAnsi="Times New Roman" w:eastAsia="Times New Roman"/>
                <w:color w:val="000000"/>
              </w:rPr>
              <w:t>відповідних документів. Проєкти рішень щодо формування (зміни) складу окружних, територіальних виборчих комісій завізовано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591" w:type="dxa"/>
            <w:noWrap w:val="0"/>
            <w:vAlign w:val="top"/>
          </w:tcPr>
          <w:p>
            <w:pPr>
              <w:pageBreakBefore/>
              <w:numPr>
                <w:ilvl w:val="0"/>
                <w:numId w:val="3"/>
              </w:numPr>
              <w:spacing w:after="0" w:line="240" w:lineRule="auto"/>
              <w:ind w:left="0" w:firstLine="0"/>
              <w:jc w:val="center"/>
              <w:rPr>
                <w:rFonts w:ascii="Times New Roman" w:hAnsi="Times New Roman" w:eastAsia="Times New Roman"/>
              </w:rPr>
            </w:pPr>
          </w:p>
        </w:tc>
        <w:tc>
          <w:tcPr>
            <w:tcW w:w="2552" w:type="dxa"/>
            <w:noWrap w:val="0"/>
            <w:vAlign w:val="top"/>
          </w:tcPr>
          <w:p>
            <w:pPr>
              <w:pageBreakBefore/>
              <w:spacing w:after="0" w:line="240" w:lineRule="auto"/>
              <w:rPr>
                <w:rFonts w:ascii="Times New Roman" w:hAnsi="Times New Roman"/>
              </w:rPr>
            </w:pPr>
            <w:r>
              <w:rPr>
                <w:rFonts w:ascii="Times New Roman" w:hAnsi="Times New Roman" w:eastAsia="Times New Roman"/>
              </w:rPr>
              <w:t>Можливість впливу третіх осіб на членів Комісії, працівників Секретаріату Комісії у зв’язку з підготовкою проєктів актів та інших документів з питань організації та проведення виборів і референдумів, реалізації та захисту виборчих прав громадян України</w:t>
            </w:r>
          </w:p>
        </w:tc>
        <w:tc>
          <w:tcPr>
            <w:tcW w:w="1250" w:type="dxa"/>
            <w:noWrap w:val="0"/>
            <w:vAlign w:val="top"/>
          </w:tcPr>
          <w:p>
            <w:pPr>
              <w:pageBreakBefore/>
              <w:spacing w:after="0" w:line="240" w:lineRule="auto"/>
              <w:rPr>
                <w:rFonts w:ascii="Times New Roman" w:hAnsi="Times New Roman" w:eastAsia="Times New Roman"/>
              </w:rPr>
            </w:pPr>
            <w:r>
              <w:rPr>
                <w:rFonts w:ascii="Times New Roman" w:hAnsi="Times New Roman" w:eastAsia="Times New Roman"/>
              </w:rPr>
              <w:t>Низька</w:t>
            </w:r>
          </w:p>
        </w:tc>
        <w:tc>
          <w:tcPr>
            <w:tcW w:w="3050" w:type="dxa"/>
            <w:noWrap w:val="0"/>
            <w:vAlign w:val="top"/>
          </w:tcPr>
          <w:p>
            <w:pPr>
              <w:pageBreakBefore/>
              <w:numPr>
                <w:ilvl w:val="0"/>
                <w:numId w:val="6"/>
              </w:numPr>
              <w:tabs>
                <w:tab w:val="left" w:pos="285"/>
              </w:tabs>
              <w:spacing w:after="0" w:line="240" w:lineRule="auto"/>
              <w:ind w:left="0" w:firstLine="0"/>
              <w:rPr>
                <w:rFonts w:ascii="Times New Roman" w:hAnsi="Times New Roman"/>
              </w:rPr>
            </w:pPr>
            <w:r>
              <w:rPr>
                <w:rFonts w:ascii="Times New Roman" w:hAnsi="Times New Roman"/>
              </w:rPr>
              <w:t>Забезпечення підготовки проєктів актів та інших документів з питань організації та проведення виборів і референдумів, реалізації та захисту виборчих прав громадян України кількома структурними підрозділами Секретаріату Комісії, візування проєктів актів членами Комісії.</w:t>
            </w:r>
          </w:p>
          <w:p>
            <w:pPr>
              <w:pageBreakBefore/>
              <w:spacing w:after="0" w:line="240" w:lineRule="auto"/>
              <w:rPr>
                <w:rFonts w:ascii="Times New Roman" w:hAnsi="Times New Roman"/>
              </w:rPr>
            </w:pPr>
          </w:p>
          <w:p>
            <w:pPr>
              <w:pageBreakBefore/>
              <w:numPr>
                <w:ilvl w:val="0"/>
                <w:numId w:val="6"/>
              </w:numPr>
              <w:tabs>
                <w:tab w:val="left" w:pos="285"/>
              </w:tabs>
              <w:spacing w:after="0" w:line="240" w:lineRule="auto"/>
              <w:ind w:left="0" w:firstLine="0"/>
              <w:rPr>
                <w:rFonts w:ascii="Times New Roman" w:hAnsi="Times New Roman"/>
              </w:rPr>
            </w:pPr>
            <w:r>
              <w:rPr>
                <w:rFonts w:ascii="Times New Roman" w:hAnsi="Times New Roman"/>
              </w:rPr>
              <w:t>Забезпечення контролю за підготовкою проєктів актів та інших документів з питань організації та проведення виборів і референдумів, реалізації та захисту виборчих прав громадян України на різних рівнях управління Секретаріатом Комісії</w:t>
            </w:r>
          </w:p>
        </w:tc>
        <w:tc>
          <w:tcPr>
            <w:tcW w:w="2422" w:type="dxa"/>
            <w:noWrap w:val="0"/>
            <w:vAlign w:val="top"/>
          </w:tcPr>
          <w:p>
            <w:pPr>
              <w:pageBreakBefore/>
              <w:spacing w:after="0" w:line="240" w:lineRule="auto"/>
              <w:rPr>
                <w:rFonts w:ascii="Times New Roman" w:hAnsi="Times New Roman" w:eastAsia="Times New Roman"/>
              </w:rPr>
            </w:pPr>
            <w:r>
              <w:rPr>
                <w:rFonts w:ascii="Times New Roman" w:hAnsi="Times New Roman" w:eastAsia="Times New Roman"/>
              </w:rPr>
              <w:t>Члени Комісії, керівництво Секретаріату Комісії, керівники структурних підрозділів Секретаріату Комісії.</w:t>
            </w:r>
          </w:p>
          <w:p>
            <w:pPr>
              <w:pageBreakBefore/>
              <w:spacing w:after="0" w:line="240" w:lineRule="auto"/>
              <w:rPr>
                <w:rFonts w:ascii="Times New Roman" w:hAnsi="Times New Roman" w:eastAsia="Times New Roman"/>
              </w:rPr>
            </w:pPr>
          </w:p>
          <w:p>
            <w:pPr>
              <w:pageBreakBefore/>
              <w:spacing w:after="0" w:line="240" w:lineRule="auto"/>
              <w:rPr>
                <w:rFonts w:ascii="Times New Roman" w:hAnsi="Times New Roman" w:eastAsia="Times New Roman"/>
              </w:rPr>
            </w:pPr>
          </w:p>
          <w:p>
            <w:pPr>
              <w:pageBreakBefore/>
              <w:spacing w:after="0" w:line="240" w:lineRule="auto"/>
              <w:rPr>
                <w:rFonts w:ascii="Times New Roman" w:hAnsi="Times New Roman" w:eastAsia="Times New Roman"/>
              </w:rPr>
            </w:pPr>
          </w:p>
          <w:p>
            <w:pPr>
              <w:pageBreakBefore/>
              <w:spacing w:after="0" w:line="240" w:lineRule="auto"/>
              <w:rPr>
                <w:rFonts w:ascii="Times New Roman" w:hAnsi="Times New Roman" w:eastAsia="Times New Roman"/>
              </w:rPr>
            </w:pPr>
          </w:p>
          <w:p>
            <w:pPr>
              <w:pageBreakBefore/>
              <w:spacing w:after="0" w:line="240" w:lineRule="auto"/>
              <w:rPr>
                <w:rFonts w:ascii="Times New Roman" w:hAnsi="Times New Roman" w:eastAsia="Times New Roman"/>
              </w:rPr>
            </w:pPr>
          </w:p>
          <w:p>
            <w:pPr>
              <w:pageBreakBefore/>
              <w:spacing w:after="0" w:line="240" w:lineRule="auto"/>
              <w:rPr>
                <w:rFonts w:ascii="Times New Roman" w:hAnsi="Times New Roman" w:eastAsia="Times New Roman"/>
              </w:rPr>
            </w:pPr>
          </w:p>
          <w:p>
            <w:pPr>
              <w:pageBreakBefore/>
              <w:spacing w:after="0" w:line="240" w:lineRule="auto"/>
              <w:rPr>
                <w:rFonts w:ascii="Times New Roman" w:hAnsi="Times New Roman" w:eastAsia="Times New Roman"/>
              </w:rPr>
            </w:pPr>
          </w:p>
          <w:p>
            <w:pPr>
              <w:pageBreakBefore/>
              <w:spacing w:after="0" w:line="240" w:lineRule="auto"/>
              <w:rPr>
                <w:rFonts w:ascii="Times New Roman" w:hAnsi="Times New Roman" w:eastAsia="Times New Roman"/>
              </w:rPr>
            </w:pPr>
            <w:r>
              <w:rPr>
                <w:rFonts w:ascii="Times New Roman" w:hAnsi="Times New Roman" w:eastAsia="Times New Roman"/>
              </w:rPr>
              <w:t>Керівництво Секретаріату Комісії, керівники структурних підрозділів Секретаріату Комісії, які входять до складу самостійних структурних підрозділів Секретаріату Комісії, керівники самостійних структурних підрозділів Секретаріату Комісії</w:t>
            </w:r>
          </w:p>
        </w:tc>
        <w:tc>
          <w:tcPr>
            <w:tcW w:w="1693" w:type="dxa"/>
            <w:noWrap w:val="0"/>
            <w:vAlign w:val="top"/>
          </w:tcPr>
          <w:p>
            <w:pPr>
              <w:pageBreakBefore/>
              <w:spacing w:after="0" w:line="240" w:lineRule="auto"/>
              <w:rPr>
                <w:rFonts w:ascii="Times New Roman" w:hAnsi="Times New Roman" w:eastAsia="Times New Roman"/>
                <w:color w:val="000000"/>
              </w:rPr>
            </w:pPr>
            <w:r>
              <w:rPr>
                <w:rFonts w:ascii="Times New Roman" w:hAnsi="Times New Roman" w:eastAsia="Times New Roman"/>
              </w:rPr>
              <w:t>Під час підготовки проєктів актів та інших документів</w:t>
            </w:r>
          </w:p>
        </w:tc>
        <w:tc>
          <w:tcPr>
            <w:tcW w:w="1450" w:type="dxa"/>
            <w:noWrap w:val="0"/>
            <w:vAlign w:val="top"/>
          </w:tcPr>
          <w:p>
            <w:pPr>
              <w:pageBreakBefore/>
              <w:spacing w:after="0" w:line="240" w:lineRule="auto"/>
              <w:rPr>
                <w:rFonts w:ascii="Times New Roman" w:hAnsi="Times New Roman" w:eastAsia="Times New Roman"/>
                <w:color w:val="000000"/>
              </w:rPr>
            </w:pPr>
            <w:r>
              <w:rPr>
                <w:rFonts w:ascii="Times New Roman" w:hAnsi="Times New Roman" w:eastAsia="Times New Roman"/>
                <w:color w:val="000000"/>
              </w:rPr>
              <w:t>Не потребує додаткових ресурсів</w:t>
            </w:r>
          </w:p>
          <w:p>
            <w:pPr>
              <w:pageBreakBefore/>
              <w:spacing w:after="0" w:line="240" w:lineRule="auto"/>
              <w:rPr>
                <w:rFonts w:ascii="Times New Roman" w:hAnsi="Times New Roman" w:eastAsia="Times New Roman"/>
                <w:color w:val="000000"/>
              </w:rPr>
            </w:pPr>
          </w:p>
          <w:p>
            <w:pPr>
              <w:pageBreakBefore/>
              <w:spacing w:after="0" w:line="240" w:lineRule="auto"/>
              <w:rPr>
                <w:rFonts w:ascii="Times New Roman" w:hAnsi="Times New Roman" w:eastAsia="Times New Roman"/>
                <w:color w:val="000000"/>
              </w:rPr>
            </w:pPr>
          </w:p>
          <w:p>
            <w:pPr>
              <w:pageBreakBefore/>
              <w:spacing w:after="0" w:line="240" w:lineRule="auto"/>
              <w:rPr>
                <w:rFonts w:ascii="Times New Roman" w:hAnsi="Times New Roman" w:eastAsia="Times New Roman"/>
                <w:color w:val="000000"/>
              </w:rPr>
            </w:pPr>
          </w:p>
          <w:p>
            <w:pPr>
              <w:pageBreakBefore/>
              <w:spacing w:after="0" w:line="240" w:lineRule="auto"/>
              <w:rPr>
                <w:rFonts w:ascii="Times New Roman" w:hAnsi="Times New Roman" w:eastAsia="Times New Roman"/>
                <w:color w:val="000000"/>
              </w:rPr>
            </w:pPr>
          </w:p>
          <w:p>
            <w:pPr>
              <w:pageBreakBefore/>
              <w:spacing w:after="0" w:line="240" w:lineRule="auto"/>
              <w:rPr>
                <w:rFonts w:ascii="Times New Roman" w:hAnsi="Times New Roman" w:eastAsia="Times New Roman"/>
                <w:color w:val="000000"/>
              </w:rPr>
            </w:pPr>
          </w:p>
          <w:p>
            <w:pPr>
              <w:pageBreakBefore/>
              <w:spacing w:after="0" w:line="240" w:lineRule="auto"/>
              <w:rPr>
                <w:rFonts w:ascii="Times New Roman" w:hAnsi="Times New Roman" w:eastAsia="Times New Roman"/>
                <w:color w:val="000000"/>
              </w:rPr>
            </w:pPr>
          </w:p>
          <w:p>
            <w:pPr>
              <w:pageBreakBefore/>
              <w:spacing w:after="0" w:line="240" w:lineRule="auto"/>
              <w:rPr>
                <w:rFonts w:ascii="Times New Roman" w:hAnsi="Times New Roman" w:eastAsia="Times New Roman"/>
                <w:color w:val="000000"/>
              </w:rPr>
            </w:pPr>
          </w:p>
        </w:tc>
        <w:tc>
          <w:tcPr>
            <w:tcW w:w="2178" w:type="dxa"/>
            <w:noWrap w:val="0"/>
            <w:vAlign w:val="top"/>
          </w:tcPr>
          <w:p>
            <w:pPr>
              <w:pageBreakBefore/>
              <w:spacing w:after="0" w:line="240" w:lineRule="auto"/>
              <w:rPr>
                <w:rFonts w:ascii="Times New Roman" w:hAnsi="Times New Roman"/>
              </w:rPr>
            </w:pPr>
            <w:r>
              <w:rPr>
                <w:rFonts w:ascii="Times New Roman" w:hAnsi="Times New Roman"/>
              </w:rPr>
              <w:t>Забезпечено підготовку проєктів актів та інших документів кількома структурними підрозділами Секретаріату Комісії.</w:t>
            </w:r>
          </w:p>
          <w:p>
            <w:pPr>
              <w:pageBreakBefore/>
              <w:spacing w:after="0" w:line="240" w:lineRule="auto"/>
              <w:rPr>
                <w:rFonts w:ascii="Times New Roman" w:hAnsi="Times New Roman" w:eastAsia="Times New Roman"/>
                <w:color w:val="000000"/>
              </w:rPr>
            </w:pPr>
            <w:r>
              <w:rPr>
                <w:rFonts w:ascii="Times New Roman" w:hAnsi="Times New Roman" w:eastAsia="Times New Roman"/>
              </w:rPr>
              <w:t>Забезпечено контроль за підготовкою проєктів актів та інших документів на різних рівнях управління Секретаріатом Комісії. Проєкти актів та інших документів завізовано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591" w:type="dxa"/>
            <w:noWrap w:val="0"/>
            <w:vAlign w:val="top"/>
          </w:tcPr>
          <w:p>
            <w:pPr>
              <w:numPr>
                <w:ilvl w:val="0"/>
                <w:numId w:val="3"/>
              </w:numPr>
              <w:spacing w:after="0" w:line="240" w:lineRule="auto"/>
              <w:ind w:left="0" w:firstLine="0"/>
              <w:jc w:val="center"/>
              <w:rPr>
                <w:rFonts w:ascii="Times New Roman" w:hAnsi="Times New Roman" w:eastAsia="Times New Roman"/>
              </w:rPr>
            </w:pPr>
          </w:p>
        </w:tc>
        <w:tc>
          <w:tcPr>
            <w:tcW w:w="2552" w:type="dxa"/>
            <w:noWrap w:val="0"/>
            <w:vAlign w:val="top"/>
          </w:tcPr>
          <w:p>
            <w:pPr>
              <w:spacing w:after="0" w:line="240" w:lineRule="auto"/>
              <w:rPr>
                <w:rFonts w:ascii="Times New Roman" w:hAnsi="Times New Roman" w:eastAsia="Times New Roman"/>
              </w:rPr>
            </w:pPr>
            <w:r>
              <w:rPr>
                <w:rFonts w:ascii="Times New Roman" w:hAnsi="Times New Roman"/>
              </w:rPr>
              <w:t>Імовірність задоволення приватного інтересу працівниками Секретаріату Комісії (інтересів третіх осіб)</w:t>
            </w:r>
            <w:r>
              <w:rPr>
                <w:rFonts w:ascii="Times New Roman" w:hAnsi="Times New Roman" w:eastAsia="Times New Roman"/>
              </w:rPr>
              <w:t xml:space="preserve"> під час отримання від  розпорядників коштів рахунків виборчих фондів кандидатів, політичних партій фінансових звітів про надходження та використання коштів виборчих фондів кандидатів, політичних партій на паперових носіях, які містять недостовірну інформацію про формування та використання коштів указаних фондів</w:t>
            </w:r>
          </w:p>
        </w:tc>
        <w:tc>
          <w:tcPr>
            <w:tcW w:w="1250" w:type="dxa"/>
            <w:noWrap w:val="0"/>
            <w:vAlign w:val="top"/>
          </w:tcPr>
          <w:p>
            <w:pPr>
              <w:spacing w:after="0" w:line="240" w:lineRule="auto"/>
              <w:rPr>
                <w:rFonts w:ascii="Times New Roman" w:hAnsi="Times New Roman" w:eastAsia="Times New Roman"/>
              </w:rPr>
            </w:pPr>
            <w:r>
              <w:rPr>
                <w:rFonts w:ascii="Times New Roman" w:hAnsi="Times New Roman" w:eastAsia="Times New Roman"/>
              </w:rPr>
              <w:t>Низька</w:t>
            </w:r>
          </w:p>
        </w:tc>
        <w:tc>
          <w:tcPr>
            <w:tcW w:w="3050" w:type="dxa"/>
            <w:noWrap w:val="0"/>
            <w:vAlign w:val="top"/>
          </w:tcPr>
          <w:p>
            <w:pPr>
              <w:numPr>
                <w:ilvl w:val="0"/>
                <w:numId w:val="7"/>
              </w:numPr>
              <w:tabs>
                <w:tab w:val="left" w:pos="285"/>
              </w:tabs>
              <w:spacing w:after="0" w:line="240" w:lineRule="auto"/>
              <w:ind w:left="0" w:firstLine="0"/>
              <w:rPr>
                <w:rFonts w:ascii="Times New Roman" w:hAnsi="Times New Roman" w:eastAsia="Times New Roman"/>
              </w:rPr>
            </w:pPr>
            <w:r>
              <w:rPr>
                <w:rFonts w:ascii="Times New Roman" w:hAnsi="Times New Roman" w:eastAsia="Times New Roman"/>
              </w:rPr>
              <w:t>Організація роботи щодо прийняття від розпорядників коштів рахунків виборчих фондів кандидатів, політичних партій фінансових звітів про надходження та використання коштів виборчих фондів кандидатів, політичних партій за відповідним графіком кількома працівниками Секретаріату Комісії.</w:t>
            </w:r>
          </w:p>
          <w:p>
            <w:pPr>
              <w:tabs>
                <w:tab w:val="left" w:pos="285"/>
              </w:tabs>
              <w:spacing w:after="0" w:line="240" w:lineRule="auto"/>
              <w:rPr>
                <w:rFonts w:ascii="Times New Roman" w:hAnsi="Times New Roman" w:eastAsia="Times New Roman"/>
                <w:sz w:val="8"/>
              </w:rPr>
            </w:pPr>
          </w:p>
          <w:p>
            <w:pPr>
              <w:numPr>
                <w:ilvl w:val="0"/>
                <w:numId w:val="7"/>
              </w:numPr>
              <w:tabs>
                <w:tab w:val="left" w:pos="285"/>
              </w:tabs>
              <w:spacing w:after="0" w:line="240" w:lineRule="auto"/>
              <w:ind w:left="0" w:firstLine="0"/>
              <w:rPr>
                <w:rFonts w:ascii="Times New Roman" w:hAnsi="Times New Roman" w:eastAsia="Times New Roman"/>
              </w:rPr>
            </w:pPr>
            <w:r>
              <w:rPr>
                <w:rFonts w:ascii="Times New Roman" w:hAnsi="Times New Roman" w:eastAsia="Times New Roman"/>
              </w:rPr>
              <w:t xml:space="preserve">Запровадження системи електронної звітності політичних партій (кандидатів) на виборах про надходження та використання коштів виборчих фондів політичних партій (кандидатів) та процедури аналізу поданих звітів </w:t>
            </w:r>
          </w:p>
        </w:tc>
        <w:tc>
          <w:tcPr>
            <w:tcW w:w="2422" w:type="dxa"/>
            <w:noWrap w:val="0"/>
            <w:vAlign w:val="top"/>
          </w:tcPr>
          <w:p>
            <w:pPr>
              <w:spacing w:after="0" w:line="240" w:lineRule="auto"/>
              <w:rPr>
                <w:rFonts w:ascii="Times New Roman" w:hAnsi="Times New Roman" w:eastAsia="Times New Roman"/>
              </w:rPr>
            </w:pPr>
            <w:r>
              <w:rPr>
                <w:rFonts w:ascii="Times New Roman" w:hAnsi="Times New Roman" w:eastAsia="Times New Roman"/>
              </w:rPr>
              <w:t>Керівництво Секретаріату Комісії, відділ внутрішнього контролю Секретаріату Комісії.</w:t>
            </w: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sz w:val="8"/>
              </w:rPr>
            </w:pPr>
          </w:p>
          <w:p>
            <w:pPr>
              <w:spacing w:after="0" w:line="240" w:lineRule="auto"/>
              <w:rPr>
                <w:rFonts w:ascii="Times New Roman" w:hAnsi="Times New Roman" w:eastAsia="Times New Roman"/>
              </w:rPr>
            </w:pPr>
            <w:r>
              <w:rPr>
                <w:rFonts w:ascii="Times New Roman" w:hAnsi="Times New Roman" w:eastAsia="Times New Roman"/>
              </w:rPr>
              <w:t>Керівництво Секретаріату Комісії, юридичне управління, управління інформатизації, відділ внутрішнього контролю Секретаріату Комісії</w:t>
            </w:r>
          </w:p>
        </w:tc>
        <w:tc>
          <w:tcPr>
            <w:tcW w:w="1693"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 xml:space="preserve">Під час виборчих кампаній </w:t>
            </w:r>
            <w:r>
              <w:rPr>
                <w:rFonts w:ascii="Times New Roman" w:hAnsi="Times New Roman" w:eastAsia="Times New Roman"/>
                <w:color w:val="000000"/>
                <w:spacing w:val="-6"/>
              </w:rPr>
              <w:t>загальнодержав-</w:t>
            </w:r>
            <w:r>
              <w:rPr>
                <w:rFonts w:ascii="Times New Roman" w:hAnsi="Times New Roman" w:eastAsia="Times New Roman"/>
                <w:color w:val="000000"/>
              </w:rPr>
              <w:t xml:space="preserve"> них виборів.</w:t>
            </w: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sz w:val="8"/>
              </w:rPr>
            </w:pPr>
          </w:p>
          <w:p>
            <w:pPr>
              <w:spacing w:after="0" w:line="240" w:lineRule="auto"/>
              <w:rPr>
                <w:rFonts w:ascii="Times New Roman" w:hAnsi="Times New Roman" w:eastAsia="Times New Roman"/>
                <w:color w:val="000000"/>
              </w:rPr>
            </w:pPr>
            <w:r>
              <w:rPr>
                <w:rFonts w:ascii="Times New Roman" w:hAnsi="Times New Roman" w:eastAsia="Times New Roman"/>
                <w:color w:val="000000"/>
              </w:rPr>
              <w:t xml:space="preserve">Грудень </w:t>
            </w:r>
            <w:r>
              <w:rPr>
                <w:rFonts w:ascii="Times New Roman" w:hAnsi="Times New Roman" w:eastAsia="Times New Roman"/>
                <w:color w:val="000000"/>
              </w:rPr>
              <w:br w:type="textWrapping"/>
            </w:r>
            <w:r>
              <w:rPr>
                <w:rFonts w:ascii="Times New Roman" w:hAnsi="Times New Roman" w:eastAsia="Times New Roman"/>
                <w:color w:val="000000"/>
              </w:rPr>
              <w:t>2022 року</w:t>
            </w:r>
          </w:p>
          <w:p>
            <w:pPr>
              <w:spacing w:after="0" w:line="240" w:lineRule="auto"/>
              <w:rPr>
                <w:rFonts w:ascii="Times New Roman" w:hAnsi="Times New Roman" w:eastAsia="Times New Roman"/>
                <w:color w:val="000000"/>
              </w:rPr>
            </w:pPr>
          </w:p>
        </w:tc>
        <w:tc>
          <w:tcPr>
            <w:tcW w:w="1450"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Не потребує додаткових ресурсів.</w:t>
            </w: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sz w:val="8"/>
              </w:rPr>
            </w:pPr>
          </w:p>
          <w:p>
            <w:pPr>
              <w:spacing w:after="0" w:line="240" w:lineRule="auto"/>
              <w:rPr>
                <w:rFonts w:ascii="Times New Roman" w:hAnsi="Times New Roman" w:eastAsia="Times New Roman"/>
                <w:color w:val="000000"/>
              </w:rPr>
            </w:pPr>
            <w:r>
              <w:rPr>
                <w:rFonts w:ascii="Times New Roman" w:hAnsi="Times New Roman" w:eastAsia="Times New Roman"/>
                <w:color w:val="000000"/>
              </w:rPr>
              <w:t>Потребує додаткових ресурсів</w:t>
            </w:r>
          </w:p>
        </w:tc>
        <w:tc>
          <w:tcPr>
            <w:tcW w:w="2178" w:type="dxa"/>
            <w:noWrap w:val="0"/>
            <w:vAlign w:val="top"/>
          </w:tcPr>
          <w:p>
            <w:pPr>
              <w:spacing w:after="0" w:line="228" w:lineRule="auto"/>
              <w:rPr>
                <w:rFonts w:ascii="Times New Roman" w:hAnsi="Times New Roman" w:eastAsia="Times New Roman"/>
                <w:color w:val="000000"/>
              </w:rPr>
            </w:pPr>
            <w:r>
              <w:rPr>
                <w:rFonts w:ascii="Times New Roman" w:hAnsi="Times New Roman" w:eastAsia="Times New Roman"/>
                <w:color w:val="000000"/>
              </w:rPr>
              <w:t>Організовано роботу щодо прийняття від розпорядників коштів рахунків виборчих фондів кандидатів, політичних партій фінансових звітів про надходження та використання коштів виборчих фондів кандидатів, політичних партій за відповідним графіком кількома працівниками Секретаріату Комісії.</w:t>
            </w:r>
          </w:p>
          <w:p>
            <w:pPr>
              <w:spacing w:after="0" w:line="228" w:lineRule="auto"/>
              <w:rPr>
                <w:rFonts w:ascii="Times New Roman" w:hAnsi="Times New Roman" w:eastAsia="Times New Roman"/>
                <w:color w:val="000000"/>
              </w:rPr>
            </w:pPr>
            <w:r>
              <w:rPr>
                <w:rFonts w:ascii="Times New Roman" w:hAnsi="Times New Roman" w:eastAsia="Times New Roman"/>
                <w:color w:val="000000"/>
              </w:rPr>
              <w:t>Запроваджено систему електронної звітності політичних партій (кандидатів) на виборах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591" w:type="dxa"/>
            <w:noWrap w:val="0"/>
            <w:vAlign w:val="top"/>
          </w:tcPr>
          <w:p>
            <w:pPr>
              <w:numPr>
                <w:ilvl w:val="0"/>
                <w:numId w:val="3"/>
              </w:numPr>
              <w:spacing w:after="0" w:line="240" w:lineRule="auto"/>
              <w:ind w:left="0" w:firstLine="0"/>
              <w:jc w:val="center"/>
              <w:rPr>
                <w:rFonts w:ascii="Times New Roman" w:hAnsi="Times New Roman" w:eastAsia="Times New Roman"/>
              </w:rPr>
            </w:pPr>
          </w:p>
        </w:tc>
        <w:tc>
          <w:tcPr>
            <w:tcW w:w="2552" w:type="dxa"/>
            <w:noWrap w:val="0"/>
            <w:vAlign w:val="top"/>
          </w:tcPr>
          <w:p>
            <w:pPr>
              <w:spacing w:after="0" w:line="221" w:lineRule="auto"/>
              <w:rPr>
                <w:rFonts w:ascii="Times New Roman" w:hAnsi="Times New Roman" w:eastAsia="Times New Roman"/>
              </w:rPr>
            </w:pPr>
            <w:r>
              <w:rPr>
                <w:rFonts w:ascii="Times New Roman" w:hAnsi="Times New Roman" w:eastAsia="Times New Roman"/>
              </w:rPr>
              <w:t>Можливий вплив зацікавлених осіб з метою приховування порушень вимог законодавства, виявлених працівником Служби розпорядника Державного реєстру виборців Секретаріату Комісії під час здійснення  контролю за  діяльністю органів ведення та регіональних органів адміністрування Державного реєстру виборців, зокрема під час проведення виїзних перевірок стану організації роботи органів ведення Державного реєстру виборців</w:t>
            </w:r>
          </w:p>
        </w:tc>
        <w:tc>
          <w:tcPr>
            <w:tcW w:w="1250" w:type="dxa"/>
            <w:noWrap w:val="0"/>
            <w:vAlign w:val="top"/>
          </w:tcPr>
          <w:p>
            <w:pPr>
              <w:spacing w:after="0" w:line="240" w:lineRule="auto"/>
              <w:rPr>
                <w:rFonts w:ascii="Times New Roman" w:hAnsi="Times New Roman" w:eastAsia="Times New Roman"/>
              </w:rPr>
            </w:pPr>
            <w:r>
              <w:rPr>
                <w:rFonts w:ascii="Times New Roman" w:hAnsi="Times New Roman" w:eastAsia="Times New Roman"/>
              </w:rPr>
              <w:t>Низька</w:t>
            </w:r>
          </w:p>
        </w:tc>
        <w:tc>
          <w:tcPr>
            <w:tcW w:w="3050" w:type="dxa"/>
            <w:noWrap w:val="0"/>
            <w:vAlign w:val="top"/>
          </w:tcPr>
          <w:p>
            <w:pPr>
              <w:numPr>
                <w:ilvl w:val="0"/>
                <w:numId w:val="8"/>
              </w:numPr>
              <w:tabs>
                <w:tab w:val="left" w:pos="285"/>
              </w:tabs>
              <w:spacing w:after="0" w:line="240" w:lineRule="auto"/>
              <w:ind w:left="0" w:firstLine="0"/>
              <w:rPr>
                <w:rFonts w:ascii="Times New Roman" w:hAnsi="Times New Roman" w:eastAsia="Times New Roman"/>
              </w:rPr>
            </w:pPr>
            <w:r>
              <w:rPr>
                <w:rFonts w:ascii="Times New Roman" w:hAnsi="Times New Roman" w:eastAsia="Times New Roman"/>
              </w:rPr>
              <w:t>Здійснення контролю за проведеними працівниками Служби розпорядника Державного реєстру виборців Секретаріату Комісії перевірками за діяльністю органів ведення та регіональних органів адміністрування Державного реєстру виборців.</w:t>
            </w:r>
          </w:p>
          <w:p>
            <w:pPr>
              <w:tabs>
                <w:tab w:val="left" w:pos="285"/>
              </w:tabs>
              <w:spacing w:after="0" w:line="240" w:lineRule="auto"/>
              <w:rPr>
                <w:rFonts w:ascii="Times New Roman" w:hAnsi="Times New Roman" w:eastAsia="Times New Roman"/>
                <w:sz w:val="14"/>
              </w:rPr>
            </w:pPr>
          </w:p>
          <w:p>
            <w:pPr>
              <w:tabs>
                <w:tab w:val="left" w:pos="285"/>
              </w:tabs>
              <w:spacing w:after="0" w:line="240" w:lineRule="auto"/>
              <w:rPr>
                <w:rFonts w:ascii="Times New Roman" w:hAnsi="Times New Roman" w:eastAsia="Times New Roman"/>
              </w:rPr>
            </w:pPr>
            <w:r>
              <w:rPr>
                <w:rFonts w:ascii="Times New Roman" w:hAnsi="Times New Roman" w:eastAsia="Times New Roman"/>
              </w:rPr>
              <w:t>2. Письмове попередження працівників Служби розпорядника Державного реєстру виборців Секретаріату Комісії про персональну відповідальність за надання недостовірних відомостей про результати здійснення контролю</w:t>
            </w:r>
          </w:p>
        </w:tc>
        <w:tc>
          <w:tcPr>
            <w:tcW w:w="2422" w:type="dxa"/>
            <w:noWrap w:val="0"/>
            <w:vAlign w:val="top"/>
          </w:tcPr>
          <w:p>
            <w:pPr>
              <w:spacing w:after="0" w:line="240" w:lineRule="auto"/>
              <w:rPr>
                <w:rFonts w:ascii="Times New Roman" w:hAnsi="Times New Roman" w:eastAsia="Times New Roman"/>
              </w:rPr>
            </w:pPr>
            <w:r>
              <w:rPr>
                <w:rFonts w:ascii="Times New Roman" w:hAnsi="Times New Roman" w:eastAsia="Times New Roman"/>
              </w:rPr>
              <w:t>Сектор з питань запобігання та виявлення корупції Секретаріату Комісії.</w:t>
            </w: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sz w:val="14"/>
              </w:rPr>
            </w:pPr>
          </w:p>
          <w:p>
            <w:pPr>
              <w:spacing w:after="0" w:line="240" w:lineRule="auto"/>
              <w:rPr>
                <w:rFonts w:ascii="Times New Roman" w:hAnsi="Times New Roman" w:eastAsia="Times New Roman"/>
              </w:rPr>
            </w:pPr>
            <w:r>
              <w:rPr>
                <w:rFonts w:ascii="Times New Roman" w:hAnsi="Times New Roman" w:eastAsia="Times New Roman"/>
              </w:rPr>
              <w:t>Служба розпорядника Державного реєстру виборців,                             сектор з питань запобігання та виявлення корупції Секретаріату Комісії</w:t>
            </w:r>
          </w:p>
        </w:tc>
        <w:tc>
          <w:tcPr>
            <w:tcW w:w="1693"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Після здійснення відповідних перевірок.</w:t>
            </w: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sz w:val="14"/>
              </w:rPr>
            </w:pPr>
          </w:p>
          <w:p>
            <w:pPr>
              <w:spacing w:after="0" w:line="240" w:lineRule="auto"/>
              <w:rPr>
                <w:rFonts w:ascii="Times New Roman" w:hAnsi="Times New Roman" w:eastAsia="Times New Roman"/>
                <w:color w:val="000000"/>
              </w:rPr>
            </w:pPr>
            <w:r>
              <w:rPr>
                <w:rFonts w:ascii="Times New Roman" w:hAnsi="Times New Roman" w:eastAsia="Times New Roman"/>
              </w:rPr>
              <w:t>Перед здійсненням відповідної перевірки</w:t>
            </w:r>
          </w:p>
        </w:tc>
        <w:tc>
          <w:tcPr>
            <w:tcW w:w="1450"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Не потребує додаткових ресурсів</w:t>
            </w:r>
          </w:p>
        </w:tc>
        <w:tc>
          <w:tcPr>
            <w:tcW w:w="2178"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 xml:space="preserve">Контроль здійснено. Працівників  </w:t>
            </w:r>
            <w:r>
              <w:rPr>
                <w:rFonts w:ascii="Times New Roman" w:hAnsi="Times New Roman" w:eastAsia="Times New Roman"/>
              </w:rPr>
              <w:t>Служби розпорядника Державного реєстру виборців Секретаріату Комісії письмово</w:t>
            </w:r>
            <w:r>
              <w:rPr>
                <w:rFonts w:ascii="Times New Roman" w:hAnsi="Times New Roman" w:eastAsia="Times New Roman"/>
                <w:color w:val="000000"/>
              </w:rPr>
              <w:t xml:space="preserve"> попереджено </w:t>
            </w:r>
            <w:r>
              <w:rPr>
                <w:rFonts w:ascii="Times New Roman" w:hAnsi="Times New Roman" w:eastAsia="Times New Roman"/>
              </w:rPr>
              <w:t>про персональну відповідальність за надання недостовірних відомостей про результати здійснення контролю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591" w:type="dxa"/>
            <w:noWrap w:val="0"/>
            <w:vAlign w:val="top"/>
          </w:tcPr>
          <w:p>
            <w:pPr>
              <w:numPr>
                <w:ilvl w:val="0"/>
                <w:numId w:val="3"/>
              </w:numPr>
              <w:spacing w:after="0" w:line="240" w:lineRule="auto"/>
              <w:ind w:left="0" w:firstLine="0"/>
              <w:jc w:val="center"/>
              <w:rPr>
                <w:rFonts w:ascii="Times New Roman" w:hAnsi="Times New Roman" w:eastAsia="Times New Roman"/>
              </w:rPr>
            </w:pPr>
          </w:p>
        </w:tc>
        <w:tc>
          <w:tcPr>
            <w:tcW w:w="2552" w:type="dxa"/>
            <w:noWrap w:val="0"/>
            <w:vAlign w:val="top"/>
          </w:tcPr>
          <w:p>
            <w:pPr>
              <w:widowControl w:val="0"/>
              <w:spacing w:after="0" w:line="240" w:lineRule="auto"/>
              <w:rPr>
                <w:rFonts w:ascii="Times New Roman" w:hAnsi="Times New Roman"/>
              </w:rPr>
            </w:pPr>
            <w:r>
              <w:rPr>
                <w:rFonts w:ascii="Times New Roman" w:hAnsi="Times New Roman"/>
              </w:rPr>
              <w:t>Імовірність зловживання службовим становищем посадовими  особами під час здійснення контролю за виборчими фондами кандидатів, політичних партій на президентських та парламентських виборах через відсутність чіткого розподілу повноважень між Центральною виборчою комісією та іншими органами контролю</w:t>
            </w:r>
          </w:p>
        </w:tc>
        <w:tc>
          <w:tcPr>
            <w:tcW w:w="1250" w:type="dxa"/>
            <w:noWrap w:val="0"/>
            <w:vAlign w:val="top"/>
          </w:tcPr>
          <w:p>
            <w:pPr>
              <w:widowControl w:val="0"/>
              <w:spacing w:after="0" w:line="240" w:lineRule="auto"/>
              <w:rPr>
                <w:rFonts w:ascii="Times New Roman" w:hAnsi="Times New Roman"/>
              </w:rPr>
            </w:pPr>
            <w:r>
              <w:rPr>
                <w:rFonts w:ascii="Times New Roman" w:hAnsi="Times New Roman"/>
              </w:rPr>
              <w:t>Низька</w:t>
            </w:r>
          </w:p>
        </w:tc>
        <w:tc>
          <w:tcPr>
            <w:tcW w:w="3050" w:type="dxa"/>
            <w:noWrap w:val="0"/>
            <w:vAlign w:val="top"/>
          </w:tcPr>
          <w:p>
            <w:pPr>
              <w:widowControl w:val="0"/>
              <w:numPr>
                <w:ilvl w:val="0"/>
                <w:numId w:val="9"/>
              </w:numPr>
              <w:tabs>
                <w:tab w:val="left" w:pos="285"/>
              </w:tabs>
              <w:spacing w:after="0" w:line="240" w:lineRule="auto"/>
              <w:ind w:left="0" w:firstLine="0"/>
              <w:rPr>
                <w:rFonts w:ascii="Times New Roman" w:hAnsi="Times New Roman"/>
              </w:rPr>
            </w:pPr>
            <w:r>
              <w:rPr>
                <w:rFonts w:ascii="Times New Roman" w:hAnsi="Times New Roman"/>
                <w:color w:val="000000"/>
              </w:rPr>
              <w:t xml:space="preserve">Забезпечення взаємодії між Центральною виборчою комісією та Національним агентством з питань запобігання корупції в частині </w:t>
            </w:r>
            <w:r>
              <w:rPr>
                <w:rFonts w:ascii="Times New Roman" w:hAnsi="Times New Roman"/>
              </w:rPr>
              <w:t>контролю  за виборчими фондами кандидатів, політичних партій на президентських та парламентських виборах (підписання меморандуму про співпрацю, створення відповідних робочих груп тощо).</w:t>
            </w:r>
          </w:p>
          <w:p>
            <w:pPr>
              <w:widowControl w:val="0"/>
              <w:tabs>
                <w:tab w:val="left" w:pos="285"/>
              </w:tabs>
              <w:spacing w:after="0" w:line="240" w:lineRule="auto"/>
              <w:rPr>
                <w:rFonts w:ascii="Times New Roman" w:hAnsi="Times New Roman"/>
              </w:rPr>
            </w:pPr>
          </w:p>
          <w:p>
            <w:pPr>
              <w:widowControl w:val="0"/>
              <w:numPr>
                <w:ilvl w:val="0"/>
                <w:numId w:val="9"/>
              </w:numPr>
              <w:tabs>
                <w:tab w:val="left" w:pos="285"/>
              </w:tabs>
              <w:spacing w:after="0" w:line="240" w:lineRule="auto"/>
              <w:ind w:left="0" w:firstLine="0"/>
              <w:rPr>
                <w:rFonts w:ascii="Times New Roman" w:hAnsi="Times New Roman"/>
              </w:rPr>
            </w:pPr>
            <w:r>
              <w:rPr>
                <w:rFonts w:ascii="Times New Roman" w:hAnsi="Times New Roman"/>
              </w:rPr>
              <w:t xml:space="preserve">Підготовка проєктів змін до </w:t>
            </w:r>
            <w:r>
              <w:rPr>
                <w:rFonts w:ascii="Times New Roman" w:hAnsi="Times New Roman"/>
                <w:color w:val="000000"/>
              </w:rPr>
              <w:t>Виборчого кодексу України та інших нормативно-правових актів</w:t>
            </w:r>
          </w:p>
          <w:p>
            <w:pPr>
              <w:widowControl w:val="0"/>
              <w:tabs>
                <w:tab w:val="left" w:pos="285"/>
              </w:tabs>
              <w:spacing w:after="0" w:line="240" w:lineRule="auto"/>
              <w:rPr>
                <w:rFonts w:ascii="Times New Roman" w:hAnsi="Times New Roman"/>
                <w:color w:val="000000"/>
              </w:rPr>
            </w:pPr>
          </w:p>
          <w:p>
            <w:pPr>
              <w:widowControl w:val="0"/>
              <w:tabs>
                <w:tab w:val="left" w:pos="285"/>
              </w:tabs>
              <w:spacing w:after="0" w:line="240" w:lineRule="auto"/>
              <w:rPr>
                <w:rFonts w:ascii="Times New Roman" w:hAnsi="Times New Roman"/>
                <w:color w:val="000000"/>
              </w:rPr>
            </w:pPr>
          </w:p>
          <w:p>
            <w:pPr>
              <w:widowControl w:val="0"/>
              <w:tabs>
                <w:tab w:val="left" w:pos="285"/>
              </w:tabs>
              <w:spacing w:after="0" w:line="240" w:lineRule="auto"/>
              <w:rPr>
                <w:rFonts w:ascii="Times New Roman" w:hAnsi="Times New Roman"/>
                <w:color w:val="000000"/>
              </w:rPr>
            </w:pPr>
          </w:p>
        </w:tc>
        <w:tc>
          <w:tcPr>
            <w:tcW w:w="2422" w:type="dxa"/>
            <w:noWrap w:val="0"/>
            <w:vAlign w:val="top"/>
          </w:tcPr>
          <w:p>
            <w:pPr>
              <w:widowControl w:val="0"/>
              <w:spacing w:after="0" w:line="240" w:lineRule="auto"/>
              <w:rPr>
                <w:rFonts w:ascii="Times New Roman" w:hAnsi="Times New Roman"/>
              </w:rPr>
            </w:pPr>
            <w:r>
              <w:rPr>
                <w:rFonts w:ascii="Times New Roman" w:hAnsi="Times New Roman" w:eastAsia="Times New Roman"/>
              </w:rPr>
              <w:t>Члени Комісії, керівництво Секретаріату Комісії</w:t>
            </w:r>
            <w:r>
              <w:rPr>
                <w:rFonts w:ascii="Times New Roman" w:hAnsi="Times New Roman"/>
              </w:rPr>
              <w:t>, юридичне управління</w:t>
            </w:r>
            <w:r>
              <w:rPr>
                <w:rFonts w:ascii="Times New Roman" w:hAnsi="Times New Roman" w:eastAsia="Times New Roman"/>
              </w:rPr>
              <w:t>,</w:t>
            </w:r>
            <w:r>
              <w:rPr>
                <w:rFonts w:ascii="Times New Roman" w:hAnsi="Times New Roman"/>
              </w:rPr>
              <w:t xml:space="preserve"> </w:t>
            </w:r>
            <w:r>
              <w:rPr>
                <w:rFonts w:ascii="Times New Roman" w:hAnsi="Times New Roman" w:eastAsia="Times New Roman"/>
              </w:rPr>
              <w:t>відділ внутрішнього контролю Секретаріату Комісії</w:t>
            </w:r>
          </w:p>
          <w:p>
            <w:pPr>
              <w:widowControl w:val="0"/>
              <w:spacing w:after="0" w:line="240" w:lineRule="auto"/>
              <w:rPr>
                <w:rFonts w:ascii="Times New Roman" w:hAnsi="Times New Roman"/>
              </w:rPr>
            </w:pPr>
          </w:p>
        </w:tc>
        <w:tc>
          <w:tcPr>
            <w:tcW w:w="1693" w:type="dxa"/>
            <w:noWrap w:val="0"/>
            <w:vAlign w:val="top"/>
          </w:tcPr>
          <w:p>
            <w:pPr>
              <w:widowControl w:val="0"/>
              <w:spacing w:after="0" w:line="240" w:lineRule="auto"/>
              <w:rPr>
                <w:rFonts w:ascii="Times New Roman" w:hAnsi="Times New Roman" w:eastAsia="Times New Roman"/>
                <w:color w:val="000000"/>
              </w:rPr>
            </w:pPr>
            <w:r>
              <w:rPr>
                <w:rFonts w:ascii="Times New Roman" w:hAnsi="Times New Roman" w:eastAsia="Times New Roman"/>
                <w:color w:val="000000"/>
              </w:rPr>
              <w:t xml:space="preserve">Березень –квітень </w:t>
            </w:r>
            <w:r>
              <w:rPr>
                <w:rFonts w:ascii="Times New Roman" w:hAnsi="Times New Roman" w:eastAsia="Times New Roman"/>
                <w:color w:val="000000"/>
              </w:rPr>
              <w:br w:type="textWrapping"/>
            </w:r>
            <w:r>
              <w:rPr>
                <w:rFonts w:ascii="Times New Roman" w:hAnsi="Times New Roman" w:eastAsia="Times New Roman"/>
                <w:color w:val="000000"/>
              </w:rPr>
              <w:t>2021 року.</w:t>
            </w:r>
          </w:p>
          <w:p>
            <w:pPr>
              <w:widowControl w:val="0"/>
              <w:spacing w:after="0" w:line="240" w:lineRule="auto"/>
              <w:rPr>
                <w:rFonts w:ascii="Times New Roman" w:hAnsi="Times New Roman" w:eastAsia="Times New Roman"/>
                <w:color w:val="000000"/>
              </w:rPr>
            </w:pPr>
          </w:p>
          <w:p>
            <w:pPr>
              <w:widowControl w:val="0"/>
              <w:spacing w:after="0" w:line="240" w:lineRule="auto"/>
              <w:rPr>
                <w:rFonts w:ascii="Times New Roman" w:hAnsi="Times New Roman" w:eastAsia="Times New Roman"/>
                <w:color w:val="000000"/>
              </w:rPr>
            </w:pPr>
          </w:p>
          <w:p>
            <w:pPr>
              <w:widowControl w:val="0"/>
              <w:spacing w:after="0" w:line="240" w:lineRule="auto"/>
              <w:rPr>
                <w:rFonts w:ascii="Times New Roman" w:hAnsi="Times New Roman" w:eastAsia="Times New Roman"/>
                <w:color w:val="000000"/>
              </w:rPr>
            </w:pPr>
          </w:p>
          <w:p>
            <w:pPr>
              <w:widowControl w:val="0"/>
              <w:spacing w:after="0" w:line="240" w:lineRule="auto"/>
              <w:rPr>
                <w:rFonts w:ascii="Times New Roman" w:hAnsi="Times New Roman" w:eastAsia="Times New Roman"/>
                <w:color w:val="000000"/>
              </w:rPr>
            </w:pPr>
          </w:p>
          <w:p>
            <w:pPr>
              <w:widowControl w:val="0"/>
              <w:spacing w:after="0" w:line="240" w:lineRule="auto"/>
              <w:rPr>
                <w:rFonts w:ascii="Times New Roman" w:hAnsi="Times New Roman" w:eastAsia="Times New Roman"/>
                <w:color w:val="000000"/>
              </w:rPr>
            </w:pPr>
          </w:p>
          <w:p>
            <w:pPr>
              <w:widowControl w:val="0"/>
              <w:spacing w:after="0" w:line="240" w:lineRule="auto"/>
              <w:rPr>
                <w:rFonts w:ascii="Times New Roman" w:hAnsi="Times New Roman" w:eastAsia="Times New Roman"/>
                <w:color w:val="000000"/>
                <w:sz w:val="16"/>
                <w:szCs w:val="16"/>
              </w:rPr>
            </w:pPr>
          </w:p>
          <w:p>
            <w:pPr>
              <w:widowControl w:val="0"/>
              <w:spacing w:after="0" w:line="240" w:lineRule="auto"/>
              <w:rPr>
                <w:rFonts w:ascii="Times New Roman" w:hAnsi="Times New Roman" w:eastAsia="Times New Roman"/>
                <w:color w:val="000000"/>
                <w:sz w:val="16"/>
                <w:szCs w:val="16"/>
              </w:rPr>
            </w:pPr>
          </w:p>
          <w:p>
            <w:pPr>
              <w:widowControl w:val="0"/>
              <w:spacing w:after="0" w:line="240" w:lineRule="auto"/>
              <w:rPr>
                <w:rFonts w:ascii="Times New Roman" w:hAnsi="Times New Roman" w:eastAsia="Times New Roman"/>
                <w:color w:val="000000"/>
                <w:sz w:val="16"/>
                <w:szCs w:val="16"/>
              </w:rPr>
            </w:pPr>
          </w:p>
          <w:p>
            <w:pPr>
              <w:widowControl w:val="0"/>
              <w:spacing w:after="0" w:line="240" w:lineRule="auto"/>
              <w:rPr>
                <w:rFonts w:ascii="Times New Roman" w:hAnsi="Times New Roman" w:eastAsia="Times New Roman"/>
                <w:color w:val="000000"/>
                <w:sz w:val="16"/>
                <w:szCs w:val="16"/>
              </w:rPr>
            </w:pPr>
          </w:p>
          <w:p>
            <w:pPr>
              <w:widowControl w:val="0"/>
              <w:spacing w:after="0" w:line="240" w:lineRule="auto"/>
              <w:rPr>
                <w:rFonts w:ascii="Times New Roman" w:hAnsi="Times New Roman" w:eastAsia="Times New Roman"/>
                <w:color w:val="000000"/>
                <w:sz w:val="16"/>
                <w:szCs w:val="16"/>
              </w:rPr>
            </w:pPr>
          </w:p>
          <w:p>
            <w:pPr>
              <w:widowControl w:val="0"/>
              <w:spacing w:after="0" w:line="240" w:lineRule="auto"/>
              <w:rPr>
                <w:rFonts w:ascii="Times New Roman" w:hAnsi="Times New Roman" w:eastAsia="Times New Roman"/>
                <w:color w:val="000000"/>
                <w:sz w:val="16"/>
                <w:szCs w:val="16"/>
              </w:rPr>
            </w:pPr>
          </w:p>
          <w:p>
            <w:pPr>
              <w:widowControl w:val="0"/>
              <w:spacing w:after="0" w:line="240" w:lineRule="auto"/>
              <w:rPr>
                <w:rFonts w:ascii="Times New Roman" w:hAnsi="Times New Roman" w:eastAsia="Times New Roman"/>
                <w:color w:val="000000"/>
                <w:sz w:val="16"/>
                <w:szCs w:val="16"/>
              </w:rPr>
            </w:pPr>
          </w:p>
          <w:p>
            <w:pPr>
              <w:widowControl w:val="0"/>
              <w:spacing w:after="0" w:line="240" w:lineRule="auto"/>
              <w:rPr>
                <w:rFonts w:ascii="Times New Roman" w:hAnsi="Times New Roman" w:eastAsia="Times New Roman"/>
                <w:color w:val="000000"/>
                <w:sz w:val="16"/>
                <w:szCs w:val="16"/>
              </w:rPr>
            </w:pPr>
          </w:p>
          <w:p>
            <w:pPr>
              <w:widowControl w:val="0"/>
              <w:spacing w:after="0" w:line="240" w:lineRule="auto"/>
              <w:rPr>
                <w:rFonts w:ascii="Times New Roman" w:hAnsi="Times New Roman" w:eastAsia="Times New Roman"/>
                <w:color w:val="000000"/>
                <w:sz w:val="16"/>
                <w:szCs w:val="16"/>
              </w:rPr>
            </w:pPr>
          </w:p>
          <w:p>
            <w:pPr>
              <w:widowControl w:val="0"/>
              <w:spacing w:after="0" w:line="240" w:lineRule="auto"/>
              <w:rPr>
                <w:rFonts w:ascii="Times New Roman" w:hAnsi="Times New Roman" w:eastAsia="Times New Roman"/>
                <w:color w:val="000000"/>
              </w:rPr>
            </w:pPr>
            <w:r>
              <w:rPr>
                <w:rFonts w:ascii="Times New Roman" w:hAnsi="Times New Roman" w:eastAsia="Times New Roman"/>
                <w:color w:val="000000"/>
              </w:rPr>
              <w:t xml:space="preserve">Грудень </w:t>
            </w:r>
            <w:r>
              <w:rPr>
                <w:rFonts w:ascii="Times New Roman" w:hAnsi="Times New Roman" w:eastAsia="Times New Roman"/>
                <w:color w:val="000000"/>
              </w:rPr>
              <w:br w:type="textWrapping"/>
            </w:r>
            <w:r>
              <w:rPr>
                <w:rFonts w:ascii="Times New Roman" w:hAnsi="Times New Roman" w:eastAsia="Times New Roman"/>
                <w:color w:val="000000"/>
              </w:rPr>
              <w:t>2021 року</w:t>
            </w:r>
          </w:p>
        </w:tc>
        <w:tc>
          <w:tcPr>
            <w:tcW w:w="1450"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Не потребує додаткових ресурсів</w:t>
            </w:r>
          </w:p>
          <w:p>
            <w:pPr>
              <w:widowControl w:val="0"/>
              <w:spacing w:after="0" w:line="240" w:lineRule="auto"/>
              <w:rPr>
                <w:rFonts w:ascii="Times New Roman" w:hAnsi="Times New Roman" w:eastAsia="Times New Roman"/>
                <w:color w:val="000000"/>
              </w:rPr>
            </w:pPr>
          </w:p>
          <w:p>
            <w:pPr>
              <w:widowControl w:val="0"/>
              <w:spacing w:after="0" w:line="240" w:lineRule="auto"/>
              <w:rPr>
                <w:rFonts w:ascii="Times New Roman" w:hAnsi="Times New Roman" w:eastAsia="Times New Roman"/>
                <w:color w:val="000000"/>
              </w:rPr>
            </w:pPr>
          </w:p>
          <w:p>
            <w:pPr>
              <w:widowControl w:val="0"/>
              <w:spacing w:after="0" w:line="240" w:lineRule="auto"/>
              <w:rPr>
                <w:rFonts w:ascii="Times New Roman" w:hAnsi="Times New Roman" w:eastAsia="Times New Roman"/>
                <w:color w:val="000000"/>
              </w:rPr>
            </w:pPr>
          </w:p>
          <w:p>
            <w:pPr>
              <w:widowControl w:val="0"/>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tc>
        <w:tc>
          <w:tcPr>
            <w:tcW w:w="2178" w:type="dxa"/>
            <w:noWrap w:val="0"/>
            <w:vAlign w:val="top"/>
          </w:tcPr>
          <w:p>
            <w:pPr>
              <w:widowControl w:val="0"/>
              <w:spacing w:after="0" w:line="240" w:lineRule="auto"/>
              <w:rPr>
                <w:rFonts w:ascii="Times New Roman" w:hAnsi="Times New Roman" w:eastAsia="Times New Roman"/>
                <w:color w:val="000000"/>
              </w:rPr>
            </w:pPr>
            <w:r>
              <w:rPr>
                <w:rFonts w:ascii="Times New Roman" w:hAnsi="Times New Roman" w:eastAsia="Times New Roman"/>
                <w:color w:val="000000"/>
              </w:rPr>
              <w:t xml:space="preserve">Забезпечено взаємодію між Центральною виборчою комісією та Національним агентством з питань запобігання корупції в частині контролю виборчих фондів кандидатів, політичних партій на президентських та парламентських виборах (підписано меморандум про співпрацю, створено відповідні робочі групи тощо). Підготовлено проєкти змін до Виборчого кодексу України та інших нормативно-правових актів і направлено їх до Верховної Ради України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15186" w:type="dxa"/>
            <w:gridSpan w:val="8"/>
            <w:noWrap w:val="0"/>
            <w:vAlign w:val="top"/>
          </w:tcPr>
          <w:p>
            <w:pPr>
              <w:pageBreakBefore/>
              <w:spacing w:after="0" w:line="240" w:lineRule="auto"/>
              <w:jc w:val="center"/>
              <w:rPr>
                <w:rFonts w:ascii="Times New Roman" w:hAnsi="Times New Roman" w:eastAsia="Times New Roman"/>
                <w:color w:val="000000"/>
              </w:rPr>
            </w:pPr>
            <w:r>
              <w:rPr>
                <w:rFonts w:ascii="Times New Roman" w:hAnsi="Times New Roman"/>
                <w:b/>
                <w:bCs/>
                <w:sz w:val="24"/>
                <w:szCs w:val="24"/>
                <w:lang w:eastAsia="uk-UA"/>
              </w:rPr>
              <w:t>Фінансова діяльність, організація роботи у сфері матеріально-технічного забезпечення (господарська діяльність)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591" w:type="dxa"/>
            <w:noWrap w:val="0"/>
            <w:vAlign w:val="top"/>
          </w:tcPr>
          <w:p>
            <w:pPr>
              <w:numPr>
                <w:ilvl w:val="0"/>
                <w:numId w:val="3"/>
              </w:numPr>
              <w:spacing w:after="0" w:line="240" w:lineRule="auto"/>
              <w:ind w:left="0" w:firstLine="0"/>
              <w:jc w:val="center"/>
              <w:rPr>
                <w:rFonts w:ascii="Times New Roman" w:hAnsi="Times New Roman" w:eastAsia="Times New Roman"/>
              </w:rPr>
            </w:pPr>
          </w:p>
        </w:tc>
        <w:tc>
          <w:tcPr>
            <w:tcW w:w="2552" w:type="dxa"/>
            <w:noWrap w:val="0"/>
            <w:vAlign w:val="top"/>
          </w:tcPr>
          <w:p>
            <w:pPr>
              <w:spacing w:after="0" w:line="240" w:lineRule="auto"/>
              <w:rPr>
                <w:rFonts w:ascii="Times New Roman" w:hAnsi="Times New Roman" w:eastAsia="Times New Roman"/>
              </w:rPr>
            </w:pPr>
            <w:r>
              <w:rPr>
                <w:rFonts w:ascii="Times New Roman" w:hAnsi="Times New Roman" w:eastAsia="Times New Roman"/>
              </w:rPr>
              <w:t>Можливе задоволення приватних інтересів під час планування потреби Комісії в коштах на бюджетний рік (завищення потреби в коштах, відсутність обґрунтування потреби тощо)</w:t>
            </w:r>
          </w:p>
        </w:tc>
        <w:tc>
          <w:tcPr>
            <w:tcW w:w="1250" w:type="dxa"/>
            <w:noWrap w:val="0"/>
            <w:vAlign w:val="top"/>
          </w:tcPr>
          <w:p>
            <w:pPr>
              <w:spacing w:after="0" w:line="240" w:lineRule="auto"/>
              <w:rPr>
                <w:rFonts w:ascii="Times New Roman" w:hAnsi="Times New Roman" w:eastAsia="Times New Roman"/>
              </w:rPr>
            </w:pPr>
            <w:r>
              <w:rPr>
                <w:rFonts w:ascii="Times New Roman" w:hAnsi="Times New Roman" w:eastAsia="Times New Roman"/>
              </w:rPr>
              <w:t>Низька</w:t>
            </w:r>
          </w:p>
        </w:tc>
        <w:tc>
          <w:tcPr>
            <w:tcW w:w="3050" w:type="dxa"/>
            <w:noWrap w:val="0"/>
            <w:vAlign w:val="top"/>
          </w:tcPr>
          <w:p>
            <w:pPr>
              <w:numPr>
                <w:ilvl w:val="0"/>
                <w:numId w:val="10"/>
              </w:numPr>
              <w:tabs>
                <w:tab w:val="left" w:pos="285"/>
              </w:tabs>
              <w:spacing w:after="0" w:line="240" w:lineRule="auto"/>
              <w:ind w:left="0" w:firstLine="0"/>
              <w:rPr>
                <w:rFonts w:ascii="Times New Roman" w:hAnsi="Times New Roman" w:eastAsia="Times New Roman"/>
              </w:rPr>
            </w:pPr>
            <w:r>
              <w:rPr>
                <w:rFonts w:ascii="Times New Roman" w:hAnsi="Times New Roman" w:eastAsia="Times New Roman"/>
              </w:rPr>
              <w:t xml:space="preserve">Розробка проєкту порядку планування видатків за бюджетними програмами Комісії та подання його на затвердження Комісії. </w:t>
            </w:r>
          </w:p>
          <w:p>
            <w:pPr>
              <w:tabs>
                <w:tab w:val="left" w:pos="285"/>
              </w:tabs>
              <w:spacing w:after="0" w:line="240" w:lineRule="auto"/>
              <w:rPr>
                <w:rFonts w:ascii="Times New Roman" w:hAnsi="Times New Roman" w:eastAsia="Times New Roman"/>
              </w:rPr>
            </w:pPr>
          </w:p>
          <w:p>
            <w:pPr>
              <w:tabs>
                <w:tab w:val="left" w:pos="285"/>
              </w:tabs>
              <w:spacing w:after="0" w:line="240" w:lineRule="auto"/>
              <w:rPr>
                <w:rFonts w:ascii="Times New Roman" w:hAnsi="Times New Roman" w:eastAsia="Times New Roman"/>
              </w:rPr>
            </w:pPr>
          </w:p>
          <w:p>
            <w:pPr>
              <w:tabs>
                <w:tab w:val="left" w:pos="285"/>
              </w:tabs>
              <w:spacing w:after="0" w:line="240" w:lineRule="auto"/>
              <w:rPr>
                <w:rFonts w:ascii="Times New Roman" w:hAnsi="Times New Roman" w:eastAsia="Times New Roman"/>
              </w:rPr>
            </w:pPr>
          </w:p>
          <w:p>
            <w:pPr>
              <w:tabs>
                <w:tab w:val="left" w:pos="285"/>
              </w:tabs>
              <w:spacing w:after="0" w:line="240" w:lineRule="auto"/>
              <w:rPr>
                <w:rFonts w:ascii="Times New Roman" w:hAnsi="Times New Roman" w:eastAsia="Times New Roman"/>
              </w:rPr>
            </w:pPr>
          </w:p>
          <w:p>
            <w:pPr>
              <w:tabs>
                <w:tab w:val="left" w:pos="285"/>
              </w:tabs>
              <w:spacing w:after="0" w:line="240" w:lineRule="auto"/>
              <w:rPr>
                <w:rFonts w:ascii="Times New Roman" w:hAnsi="Times New Roman" w:eastAsia="Times New Roman"/>
              </w:rPr>
            </w:pPr>
          </w:p>
          <w:p>
            <w:pPr>
              <w:tabs>
                <w:tab w:val="left" w:pos="285"/>
              </w:tabs>
              <w:spacing w:after="0" w:line="240" w:lineRule="auto"/>
              <w:rPr>
                <w:rFonts w:ascii="Times New Roman" w:hAnsi="Times New Roman" w:eastAsia="Times New Roman"/>
              </w:rPr>
            </w:pPr>
          </w:p>
          <w:p>
            <w:pPr>
              <w:tabs>
                <w:tab w:val="left" w:pos="285"/>
              </w:tabs>
              <w:spacing w:after="0" w:line="240" w:lineRule="auto"/>
              <w:rPr>
                <w:rFonts w:ascii="Times New Roman" w:hAnsi="Times New Roman" w:eastAsia="Times New Roman"/>
              </w:rPr>
            </w:pPr>
          </w:p>
          <w:p>
            <w:pPr>
              <w:tabs>
                <w:tab w:val="left" w:pos="285"/>
              </w:tabs>
              <w:spacing w:after="0" w:line="240" w:lineRule="auto"/>
              <w:rPr>
                <w:rFonts w:ascii="Times New Roman" w:hAnsi="Times New Roman" w:eastAsia="Times New Roman"/>
              </w:rPr>
            </w:pPr>
          </w:p>
          <w:p>
            <w:pPr>
              <w:tabs>
                <w:tab w:val="left" w:pos="285"/>
              </w:tabs>
              <w:spacing w:after="0" w:line="240" w:lineRule="auto"/>
              <w:rPr>
                <w:rFonts w:ascii="Times New Roman" w:hAnsi="Times New Roman" w:eastAsia="Times New Roman"/>
                <w:sz w:val="14"/>
              </w:rPr>
            </w:pPr>
          </w:p>
          <w:p>
            <w:pPr>
              <w:numPr>
                <w:ilvl w:val="0"/>
                <w:numId w:val="10"/>
              </w:numPr>
              <w:tabs>
                <w:tab w:val="left" w:pos="285"/>
              </w:tabs>
              <w:spacing w:after="0" w:line="240" w:lineRule="auto"/>
              <w:ind w:left="0" w:firstLine="0"/>
              <w:rPr>
                <w:rFonts w:ascii="Times New Roman" w:hAnsi="Times New Roman" w:eastAsia="Times New Roman"/>
              </w:rPr>
            </w:pPr>
            <w:r>
              <w:rPr>
                <w:rFonts w:ascii="Times New Roman" w:hAnsi="Times New Roman" w:eastAsia="Times New Roman"/>
              </w:rPr>
              <w:t>Забезпечення деталізованого обґрунтування потреби Комісії в коштах на відповідний рік за всіма бюджетними програмами Комісії (підготовка інструкцій щодо формування бюджетних запитів, кошторисів тощо, уніфікація подань структурних підрозділів Секретаріату Комісії до бюджетних запитів, кошторисів тощо)</w:t>
            </w:r>
          </w:p>
        </w:tc>
        <w:tc>
          <w:tcPr>
            <w:tcW w:w="2422" w:type="dxa"/>
            <w:noWrap w:val="0"/>
            <w:vAlign w:val="top"/>
          </w:tcPr>
          <w:p>
            <w:pPr>
              <w:widowControl w:val="0"/>
              <w:spacing w:after="0" w:line="240" w:lineRule="auto"/>
              <w:rPr>
                <w:rFonts w:ascii="Times New Roman" w:hAnsi="Times New Roman" w:eastAsia="Times New Roman"/>
              </w:rPr>
            </w:pPr>
            <w:r>
              <w:rPr>
                <w:rFonts w:ascii="Times New Roman" w:hAnsi="Times New Roman" w:eastAsia="Times New Roman"/>
              </w:rPr>
              <w:t xml:space="preserve">Керівництво Секретаріату Комісії,      відділи Секретаріату Комісії: планово-фінансовий відділ управління планово-фінансової діяльності, бухгалтерського обліку та звітності,  внутрішнього контролю; юридичне управління Секретаріату Комісії. </w:t>
            </w:r>
          </w:p>
          <w:p>
            <w:pPr>
              <w:widowControl w:val="0"/>
              <w:spacing w:after="0" w:line="240" w:lineRule="auto"/>
              <w:rPr>
                <w:rFonts w:ascii="Times New Roman" w:hAnsi="Times New Roman" w:eastAsia="Times New Roman"/>
                <w:sz w:val="14"/>
              </w:rPr>
            </w:pPr>
          </w:p>
          <w:p>
            <w:pPr>
              <w:spacing w:after="0" w:line="240" w:lineRule="auto"/>
              <w:rPr>
                <w:rFonts w:ascii="Times New Roman" w:hAnsi="Times New Roman" w:eastAsia="Times New Roman"/>
              </w:rPr>
            </w:pPr>
            <w:r>
              <w:rPr>
                <w:rFonts w:ascii="Times New Roman" w:hAnsi="Times New Roman" w:eastAsia="Times New Roman"/>
              </w:rPr>
              <w:t>Керівництво Секретаріату Комісії,      відділи Секретаріату Комісії: планово-фінансовий відділ управління планово-фінансової діяльності, бухгалтерського обліку та звітності,  внутрішнього контролю; керівники структурних підрозділів Секретаріату Комісії</w:t>
            </w:r>
          </w:p>
        </w:tc>
        <w:tc>
          <w:tcPr>
            <w:tcW w:w="1693"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 xml:space="preserve">Вересень </w:t>
            </w:r>
            <w:r>
              <w:rPr>
                <w:rFonts w:ascii="Times New Roman" w:hAnsi="Times New Roman" w:eastAsia="Times New Roman"/>
                <w:color w:val="000000"/>
              </w:rPr>
              <w:br w:type="textWrapping"/>
            </w:r>
            <w:r>
              <w:rPr>
                <w:rFonts w:ascii="Times New Roman" w:hAnsi="Times New Roman" w:eastAsia="Times New Roman"/>
                <w:color w:val="000000"/>
              </w:rPr>
              <w:t>2021 року.</w:t>
            </w: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sz w:val="14"/>
              </w:rPr>
            </w:pPr>
          </w:p>
          <w:p>
            <w:pPr>
              <w:spacing w:after="0" w:line="240" w:lineRule="auto"/>
              <w:rPr>
                <w:rFonts w:ascii="Times New Roman" w:hAnsi="Times New Roman" w:eastAsia="Times New Roman"/>
                <w:color w:val="000000"/>
              </w:rPr>
            </w:pPr>
            <w:r>
              <w:rPr>
                <w:rFonts w:ascii="Times New Roman" w:hAnsi="Times New Roman" w:eastAsia="Times New Roman"/>
                <w:color w:val="000000"/>
              </w:rPr>
              <w:t>Під час підготовки бюджетних запитів, кошторисів</w:t>
            </w: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tc>
        <w:tc>
          <w:tcPr>
            <w:tcW w:w="1450"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Не потребує додаткових ресурсів</w:t>
            </w: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tc>
        <w:tc>
          <w:tcPr>
            <w:tcW w:w="2178" w:type="dxa"/>
            <w:noWrap w:val="0"/>
            <w:vAlign w:val="top"/>
          </w:tcPr>
          <w:p>
            <w:pPr>
              <w:spacing w:after="0" w:line="240" w:lineRule="auto"/>
              <w:rPr>
                <w:rFonts w:ascii="Times New Roman" w:hAnsi="Times New Roman" w:eastAsia="Times New Roman"/>
              </w:rPr>
            </w:pPr>
            <w:r>
              <w:rPr>
                <w:rFonts w:ascii="Times New Roman" w:hAnsi="Times New Roman" w:eastAsia="Times New Roman"/>
                <w:color w:val="000000"/>
              </w:rPr>
              <w:t>Затверджено порядок</w:t>
            </w:r>
            <w:r>
              <w:rPr>
                <w:rFonts w:ascii="Times New Roman" w:hAnsi="Times New Roman" w:eastAsia="Times New Roman"/>
              </w:rPr>
              <w:t xml:space="preserve"> планування видатків за бюджетними програмами Комісії.</w:t>
            </w:r>
          </w:p>
          <w:p>
            <w:pPr>
              <w:spacing w:after="0" w:line="240" w:lineRule="auto"/>
              <w:rPr>
                <w:rFonts w:ascii="Times New Roman" w:hAnsi="Times New Roman" w:eastAsia="Times New Roman"/>
                <w:color w:val="000000"/>
              </w:rPr>
            </w:pPr>
            <w:r>
              <w:rPr>
                <w:rFonts w:ascii="Times New Roman" w:hAnsi="Times New Roman" w:eastAsia="Times New Roman"/>
              </w:rPr>
              <w:t>Розроблено інструкції щодо формування бюджетних запитів, кошторисів тощо. Потребу Комісії в коштах на бюджетний рік сформовано на підставі деталізованих обґрунтувань та за уніфікованими поданнями структурних підрозділів Секретаріату Комісії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591" w:type="dxa"/>
            <w:noWrap w:val="0"/>
            <w:vAlign w:val="top"/>
          </w:tcPr>
          <w:p>
            <w:pPr>
              <w:numPr>
                <w:ilvl w:val="0"/>
                <w:numId w:val="3"/>
              </w:numPr>
              <w:spacing w:after="0" w:line="240" w:lineRule="auto"/>
              <w:ind w:left="0" w:firstLine="0"/>
              <w:jc w:val="center"/>
              <w:rPr>
                <w:rFonts w:ascii="Times New Roman" w:hAnsi="Times New Roman" w:eastAsia="Times New Roman"/>
              </w:rPr>
            </w:pPr>
          </w:p>
        </w:tc>
        <w:tc>
          <w:tcPr>
            <w:tcW w:w="2552" w:type="dxa"/>
            <w:noWrap w:val="0"/>
            <w:vAlign w:val="top"/>
          </w:tcPr>
          <w:p>
            <w:pPr>
              <w:widowControl w:val="0"/>
              <w:spacing w:after="0" w:line="228" w:lineRule="auto"/>
              <w:rPr>
                <w:rFonts w:ascii="Times New Roman" w:hAnsi="Times New Roman"/>
                <w:spacing w:val="-4"/>
              </w:rPr>
            </w:pPr>
            <w:r>
              <w:rPr>
                <w:rFonts w:ascii="Times New Roman" w:hAnsi="Times New Roman" w:eastAsia="Times New Roman"/>
              </w:rPr>
              <w:t xml:space="preserve">Завищення очікуваної вартості предмета закупівлі під час здійснення закупівель товарів, послуг, вартість яких не перевищує </w:t>
            </w:r>
            <w:r>
              <w:rPr>
                <w:rFonts w:ascii="Times New Roman" w:hAnsi="Times New Roman" w:eastAsia="Times New Roman"/>
              </w:rPr>
              <w:br w:type="textWrapping"/>
            </w:r>
            <w:r>
              <w:rPr>
                <w:rFonts w:ascii="Times New Roman" w:hAnsi="Times New Roman" w:eastAsia="Times New Roman"/>
              </w:rPr>
              <w:t>50 000 грн</w:t>
            </w:r>
          </w:p>
        </w:tc>
        <w:tc>
          <w:tcPr>
            <w:tcW w:w="1250" w:type="dxa"/>
            <w:noWrap w:val="0"/>
            <w:vAlign w:val="top"/>
          </w:tcPr>
          <w:p>
            <w:pPr>
              <w:widowControl w:val="0"/>
              <w:spacing w:after="0" w:line="240" w:lineRule="auto"/>
              <w:rPr>
                <w:rFonts w:ascii="Times New Roman" w:hAnsi="Times New Roman"/>
              </w:rPr>
            </w:pPr>
            <w:r>
              <w:rPr>
                <w:rFonts w:ascii="Times New Roman" w:hAnsi="Times New Roman"/>
              </w:rPr>
              <w:t>Середня</w:t>
            </w:r>
          </w:p>
        </w:tc>
        <w:tc>
          <w:tcPr>
            <w:tcW w:w="3050" w:type="dxa"/>
            <w:noWrap w:val="0"/>
            <w:vAlign w:val="top"/>
          </w:tcPr>
          <w:p>
            <w:pPr>
              <w:numPr>
                <w:ilvl w:val="0"/>
                <w:numId w:val="11"/>
              </w:numPr>
              <w:tabs>
                <w:tab w:val="left" w:pos="285"/>
              </w:tabs>
              <w:spacing w:after="0" w:line="240" w:lineRule="auto"/>
              <w:ind w:left="0" w:firstLine="0"/>
              <w:rPr>
                <w:rFonts w:ascii="Times New Roman" w:hAnsi="Times New Roman" w:eastAsia="Times New Roman"/>
              </w:rPr>
            </w:pPr>
            <w:r>
              <w:rPr>
                <w:rFonts w:ascii="Times New Roman" w:hAnsi="Times New Roman" w:eastAsia="Times New Roman"/>
              </w:rPr>
              <w:t>Моніторинг цін на відповідні товари, послуги, з обов’язковим наданням його результатів у складі обґрунтування необхідності включення відповідної позиції до річного плану закупівель Комісії на відповідний рік та врахуванням під час вибору постачальника товарів, виконавця послуг за замовленням Комісії.</w:t>
            </w:r>
          </w:p>
          <w:p>
            <w:pPr>
              <w:tabs>
                <w:tab w:val="left" w:pos="285"/>
              </w:tabs>
              <w:spacing w:after="0" w:line="240" w:lineRule="auto"/>
              <w:rPr>
                <w:rFonts w:ascii="Times New Roman" w:hAnsi="Times New Roman" w:eastAsia="Times New Roman"/>
                <w:sz w:val="2"/>
                <w:szCs w:val="2"/>
              </w:rPr>
            </w:pPr>
          </w:p>
          <w:p>
            <w:pPr>
              <w:numPr>
                <w:ilvl w:val="0"/>
                <w:numId w:val="11"/>
              </w:numPr>
              <w:tabs>
                <w:tab w:val="left" w:pos="285"/>
              </w:tabs>
              <w:spacing w:after="0" w:line="240" w:lineRule="auto"/>
              <w:ind w:left="2" w:firstLine="0"/>
              <w:rPr>
                <w:rFonts w:ascii="Times New Roman" w:hAnsi="Times New Roman" w:eastAsia="Times New Roman"/>
              </w:rPr>
            </w:pPr>
            <w:r>
              <w:rPr>
                <w:rFonts w:ascii="Times New Roman" w:hAnsi="Times New Roman" w:eastAsia="Times New Roman"/>
              </w:rPr>
              <w:t xml:space="preserve">Використання Примірної методики  визначення очікуваної вартості предмета закупівлі, затвердженої наказом Міністерства розвитку економіки, торгівлі та сільського господарства України від 18 лютого </w:t>
            </w:r>
            <w:r>
              <w:rPr>
                <w:rFonts w:ascii="Times New Roman" w:hAnsi="Times New Roman" w:eastAsia="Times New Roman"/>
              </w:rPr>
              <w:br w:type="textWrapping"/>
            </w:r>
            <w:r>
              <w:rPr>
                <w:rFonts w:ascii="Times New Roman" w:hAnsi="Times New Roman" w:eastAsia="Times New Roman"/>
              </w:rPr>
              <w:t>2020 року № 275</w:t>
            </w:r>
          </w:p>
        </w:tc>
        <w:tc>
          <w:tcPr>
            <w:tcW w:w="2422" w:type="dxa"/>
            <w:noWrap w:val="0"/>
            <w:vAlign w:val="top"/>
          </w:tcPr>
          <w:p>
            <w:pPr>
              <w:widowControl w:val="0"/>
              <w:spacing w:after="0" w:line="240" w:lineRule="auto"/>
              <w:rPr>
                <w:rFonts w:ascii="Times New Roman" w:hAnsi="Times New Roman" w:eastAsia="Times New Roman"/>
              </w:rPr>
            </w:pPr>
            <w:r>
              <w:rPr>
                <w:rFonts w:ascii="Times New Roman" w:hAnsi="Times New Roman" w:eastAsia="Times New Roman"/>
              </w:rPr>
              <w:t>Структурні підрозділи Секретаріату Комісії, які ініціюють закупівлі товарів, послуг, вартість яких не перевищує 50 000 грн</w:t>
            </w:r>
          </w:p>
          <w:p>
            <w:pPr>
              <w:widowControl w:val="0"/>
              <w:spacing w:after="0" w:line="240" w:lineRule="auto"/>
              <w:rPr>
                <w:rFonts w:ascii="Times New Roman" w:hAnsi="Times New Roman" w:eastAsia="Times New Roman"/>
              </w:rPr>
            </w:pPr>
          </w:p>
        </w:tc>
        <w:tc>
          <w:tcPr>
            <w:tcW w:w="1693" w:type="dxa"/>
            <w:noWrap w:val="0"/>
            <w:vAlign w:val="top"/>
          </w:tcPr>
          <w:p>
            <w:pPr>
              <w:widowControl w:val="0"/>
              <w:spacing w:after="0" w:line="240" w:lineRule="auto"/>
              <w:rPr>
                <w:rFonts w:ascii="Times New Roman" w:hAnsi="Times New Roman" w:eastAsia="Times New Roman"/>
                <w:color w:val="000000"/>
              </w:rPr>
            </w:pPr>
            <w:r>
              <w:rPr>
                <w:rFonts w:ascii="Times New Roman" w:hAnsi="Times New Roman" w:eastAsia="Times New Roman"/>
                <w:color w:val="000000"/>
              </w:rPr>
              <w:t xml:space="preserve">Під час подання пропозицій до річного плану закупівель Комісії на відповідний рік, під час вибору </w:t>
            </w:r>
            <w:r>
              <w:rPr>
                <w:rFonts w:ascii="Times New Roman" w:hAnsi="Times New Roman" w:eastAsia="Times New Roman"/>
              </w:rPr>
              <w:t>постачальника товарів, виконавця послуг за замовленням Комісії</w:t>
            </w:r>
          </w:p>
          <w:p>
            <w:pPr>
              <w:widowControl w:val="0"/>
              <w:spacing w:after="0" w:line="240" w:lineRule="auto"/>
              <w:rPr>
                <w:rFonts w:ascii="Times New Roman" w:hAnsi="Times New Roman" w:eastAsia="Times New Roman"/>
                <w:color w:val="000000"/>
              </w:rPr>
            </w:pPr>
          </w:p>
          <w:p>
            <w:pPr>
              <w:widowControl w:val="0"/>
              <w:spacing w:after="0" w:line="240" w:lineRule="auto"/>
              <w:rPr>
                <w:rFonts w:ascii="Times New Roman" w:hAnsi="Times New Roman" w:eastAsia="Times New Roman"/>
                <w:color w:val="000000"/>
              </w:rPr>
            </w:pPr>
          </w:p>
          <w:p>
            <w:pPr>
              <w:widowControl w:val="0"/>
              <w:spacing w:after="0" w:line="240" w:lineRule="auto"/>
              <w:rPr>
                <w:rFonts w:ascii="Times New Roman" w:hAnsi="Times New Roman" w:eastAsia="Times New Roman"/>
                <w:color w:val="000000"/>
              </w:rPr>
            </w:pPr>
          </w:p>
          <w:p>
            <w:pPr>
              <w:widowControl w:val="0"/>
              <w:spacing w:after="0" w:line="240" w:lineRule="auto"/>
              <w:rPr>
                <w:rFonts w:ascii="Times New Roman" w:hAnsi="Times New Roman" w:eastAsia="Times New Roman"/>
                <w:color w:val="000000"/>
              </w:rPr>
            </w:pPr>
          </w:p>
        </w:tc>
        <w:tc>
          <w:tcPr>
            <w:tcW w:w="1450"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Не потребує додаткових ресурсів</w:t>
            </w:r>
          </w:p>
          <w:p>
            <w:pPr>
              <w:widowControl w:val="0"/>
              <w:spacing w:after="0" w:line="240" w:lineRule="auto"/>
              <w:rPr>
                <w:rFonts w:ascii="Times New Roman" w:hAnsi="Times New Roman" w:eastAsia="Times New Roman"/>
                <w:color w:val="000000"/>
              </w:rPr>
            </w:pPr>
          </w:p>
        </w:tc>
        <w:tc>
          <w:tcPr>
            <w:tcW w:w="2178"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 xml:space="preserve">Забезпечено обґрунтування ціни на товари, послуги, вартість яких не перевищує </w:t>
            </w:r>
            <w:r>
              <w:rPr>
                <w:rFonts w:ascii="Times New Roman" w:hAnsi="Times New Roman" w:eastAsia="Times New Roman"/>
                <w:color w:val="000000"/>
              </w:rPr>
              <w:br w:type="textWrapping"/>
            </w:r>
            <w:r>
              <w:rPr>
                <w:rFonts w:ascii="Times New Roman" w:hAnsi="Times New Roman" w:eastAsia="Times New Roman"/>
                <w:color w:val="000000"/>
              </w:rPr>
              <w:t xml:space="preserve">50 000 грн. Закупівлі проводяться з використанням </w:t>
            </w:r>
          </w:p>
          <w:p>
            <w:pPr>
              <w:spacing w:after="0" w:line="240" w:lineRule="auto"/>
              <w:rPr>
                <w:rFonts w:ascii="Times New Roman" w:hAnsi="Times New Roman" w:eastAsia="Times New Roman"/>
                <w:color w:val="000000"/>
              </w:rPr>
            </w:pPr>
            <w:r>
              <w:rPr>
                <w:rFonts w:ascii="Times New Roman" w:hAnsi="Times New Roman" w:eastAsia="Times New Roman"/>
                <w:color w:val="000000"/>
              </w:rPr>
              <w:t xml:space="preserve">Примірної методики, </w:t>
            </w:r>
            <w:r>
              <w:rPr>
                <w:rFonts w:ascii="Times New Roman" w:hAnsi="Times New Roman" w:eastAsia="Times New Roman"/>
              </w:rPr>
              <w:t xml:space="preserve">затвердженої Міністерством розвитку економіки, торгівлі та сільського господарства України </w:t>
            </w:r>
          </w:p>
          <w:p>
            <w:pPr>
              <w:spacing w:after="0" w:line="240" w:lineRule="auto"/>
              <w:rPr>
                <w:rFonts w:ascii="Times New Roman" w:hAnsi="Times New Roman" w:eastAsia="Times New Roman"/>
                <w:strike/>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591" w:type="dxa"/>
            <w:shd w:val="clear" w:color="auto" w:fill="auto"/>
            <w:noWrap w:val="0"/>
            <w:vAlign w:val="top"/>
          </w:tcPr>
          <w:p>
            <w:pPr>
              <w:numPr>
                <w:ilvl w:val="0"/>
                <w:numId w:val="3"/>
              </w:numPr>
              <w:spacing w:after="0" w:line="240" w:lineRule="auto"/>
              <w:ind w:left="0" w:firstLine="0"/>
              <w:jc w:val="center"/>
              <w:rPr>
                <w:rFonts w:ascii="Times New Roman" w:hAnsi="Times New Roman" w:eastAsia="Times New Roman"/>
              </w:rPr>
            </w:pPr>
          </w:p>
        </w:tc>
        <w:tc>
          <w:tcPr>
            <w:tcW w:w="2552" w:type="dxa"/>
            <w:shd w:val="clear" w:color="auto" w:fill="auto"/>
            <w:noWrap w:val="0"/>
            <w:vAlign w:val="top"/>
          </w:tcPr>
          <w:p>
            <w:pPr>
              <w:widowControl w:val="0"/>
              <w:spacing w:after="0" w:line="240" w:lineRule="auto"/>
              <w:rPr>
                <w:rFonts w:ascii="Times New Roman" w:hAnsi="Times New Roman" w:eastAsia="Times New Roman"/>
              </w:rPr>
            </w:pPr>
            <w:r>
              <w:rPr>
                <w:rFonts w:ascii="Times New Roman" w:hAnsi="Times New Roman" w:eastAsia="Times New Roman"/>
              </w:rPr>
              <w:t>Можливість використання членами Комісії, працівниками Секретаріату Комісії матеріально-технічних ресурсів в особистих цілях</w:t>
            </w:r>
          </w:p>
        </w:tc>
        <w:tc>
          <w:tcPr>
            <w:tcW w:w="1250" w:type="dxa"/>
            <w:shd w:val="clear" w:color="auto" w:fill="auto"/>
            <w:noWrap w:val="0"/>
            <w:vAlign w:val="top"/>
          </w:tcPr>
          <w:p>
            <w:pPr>
              <w:widowControl w:val="0"/>
              <w:spacing w:after="0" w:line="240" w:lineRule="auto"/>
              <w:rPr>
                <w:rFonts w:ascii="Times New Roman" w:hAnsi="Times New Roman" w:eastAsia="Times New Roman"/>
              </w:rPr>
            </w:pPr>
            <w:r>
              <w:rPr>
                <w:rFonts w:ascii="Times New Roman" w:hAnsi="Times New Roman" w:eastAsia="Times New Roman"/>
              </w:rPr>
              <w:t>Низька</w:t>
            </w:r>
          </w:p>
        </w:tc>
        <w:tc>
          <w:tcPr>
            <w:tcW w:w="3050" w:type="dxa"/>
            <w:shd w:val="clear" w:color="auto" w:fill="auto"/>
            <w:noWrap w:val="0"/>
            <w:vAlign w:val="top"/>
          </w:tcPr>
          <w:p>
            <w:pPr>
              <w:numPr>
                <w:ilvl w:val="0"/>
                <w:numId w:val="12"/>
              </w:numPr>
              <w:tabs>
                <w:tab w:val="left" w:pos="285"/>
              </w:tabs>
              <w:spacing w:after="0" w:line="240" w:lineRule="auto"/>
              <w:ind w:left="0" w:firstLine="0"/>
              <w:rPr>
                <w:rFonts w:ascii="Times New Roman" w:hAnsi="Times New Roman" w:eastAsia="Times New Roman"/>
              </w:rPr>
            </w:pPr>
            <w:r>
              <w:rPr>
                <w:rFonts w:ascii="Times New Roman" w:hAnsi="Times New Roman" w:eastAsia="Times New Roman"/>
              </w:rPr>
              <w:t>Розробка проєкту порядку внутрішнього контролю в Центральній виборчій комісії та подання його на затвердження Комісії.</w:t>
            </w:r>
          </w:p>
          <w:p>
            <w:pPr>
              <w:tabs>
                <w:tab w:val="left" w:pos="285"/>
              </w:tabs>
              <w:spacing w:after="0" w:line="240" w:lineRule="auto"/>
              <w:rPr>
                <w:rFonts w:ascii="Times New Roman" w:hAnsi="Times New Roman" w:eastAsia="Times New Roman"/>
                <w:sz w:val="16"/>
                <w:szCs w:val="16"/>
              </w:rPr>
            </w:pPr>
          </w:p>
          <w:p>
            <w:pPr>
              <w:widowControl w:val="0"/>
              <w:numPr>
                <w:ilvl w:val="0"/>
                <w:numId w:val="12"/>
              </w:numPr>
              <w:tabs>
                <w:tab w:val="left" w:pos="285"/>
              </w:tabs>
              <w:spacing w:after="0" w:line="240" w:lineRule="auto"/>
              <w:ind w:left="0" w:firstLine="0"/>
              <w:rPr>
                <w:rFonts w:ascii="Times New Roman" w:hAnsi="Times New Roman" w:eastAsia="Times New Roman"/>
              </w:rPr>
            </w:pPr>
            <w:r>
              <w:rPr>
                <w:rFonts w:ascii="Times New Roman" w:hAnsi="Times New Roman" w:eastAsia="Times New Roman"/>
              </w:rPr>
              <w:t>Письмове попередження працівників Секретаріату Комісії про персональну відповідальність за використання матеріально-технічних ресурсів в особистих цілях</w:t>
            </w:r>
          </w:p>
          <w:p>
            <w:pPr>
              <w:widowControl w:val="0"/>
              <w:tabs>
                <w:tab w:val="left" w:pos="285"/>
              </w:tabs>
              <w:spacing w:after="0" w:line="240" w:lineRule="auto"/>
              <w:rPr>
                <w:rFonts w:ascii="Times New Roman" w:hAnsi="Times New Roman" w:eastAsia="Times New Roman"/>
              </w:rPr>
            </w:pPr>
          </w:p>
        </w:tc>
        <w:tc>
          <w:tcPr>
            <w:tcW w:w="2422" w:type="dxa"/>
            <w:shd w:val="clear" w:color="auto" w:fill="auto"/>
            <w:noWrap w:val="0"/>
            <w:vAlign w:val="top"/>
          </w:tcPr>
          <w:p>
            <w:pPr>
              <w:widowControl w:val="0"/>
              <w:spacing w:after="0" w:line="228" w:lineRule="auto"/>
              <w:rPr>
                <w:rFonts w:ascii="Times New Roman" w:hAnsi="Times New Roman" w:eastAsia="Times New Roman"/>
                <w:color w:val="000000"/>
                <w:lang w:eastAsia="uk-UA"/>
              </w:rPr>
            </w:pPr>
            <w:r>
              <w:rPr>
                <w:rFonts w:ascii="Times New Roman" w:hAnsi="Times New Roman" w:eastAsia="Times New Roman"/>
                <w:color w:val="000000"/>
                <w:lang w:eastAsia="uk-UA"/>
              </w:rPr>
              <w:t>Члени Комісії, керівництво Секретаріату Комісії,       відділ внутрішнього контролю,            юридичне управління,</w:t>
            </w:r>
          </w:p>
          <w:p>
            <w:pPr>
              <w:widowControl w:val="0"/>
              <w:spacing w:after="0" w:line="228" w:lineRule="auto"/>
              <w:rPr>
                <w:rFonts w:ascii="Times New Roman" w:hAnsi="Times New Roman" w:eastAsia="Times New Roman"/>
                <w:color w:val="000000"/>
                <w:lang w:eastAsia="uk-UA"/>
              </w:rPr>
            </w:pPr>
            <w:r>
              <w:rPr>
                <w:rFonts w:ascii="Times New Roman" w:hAnsi="Times New Roman" w:eastAsia="Times New Roman"/>
                <w:color w:val="000000"/>
                <w:lang w:eastAsia="uk-UA"/>
              </w:rPr>
              <w:t>управління господарського та матеріально-технічного забезпечення, відділ бухгалтерського обліку та звітності управління планово-фінансової діяльності, бухгалтерського обліку та звітності, управління персоналу Секретаріату Комісії</w:t>
            </w:r>
          </w:p>
          <w:p>
            <w:pPr>
              <w:widowControl w:val="0"/>
              <w:spacing w:after="0" w:line="228" w:lineRule="auto"/>
              <w:rPr>
                <w:rFonts w:ascii="Times New Roman" w:hAnsi="Times New Roman" w:eastAsia="Times New Roman"/>
                <w:color w:val="000000"/>
                <w:lang w:eastAsia="uk-UA"/>
              </w:rPr>
            </w:pPr>
          </w:p>
        </w:tc>
        <w:tc>
          <w:tcPr>
            <w:tcW w:w="1693" w:type="dxa"/>
            <w:shd w:val="clear" w:color="auto" w:fill="auto"/>
            <w:noWrap w:val="0"/>
            <w:vAlign w:val="top"/>
          </w:tcPr>
          <w:p>
            <w:pPr>
              <w:widowControl w:val="0"/>
              <w:spacing w:after="0" w:line="240" w:lineRule="auto"/>
              <w:rPr>
                <w:rFonts w:ascii="Times New Roman" w:hAnsi="Times New Roman" w:eastAsia="Times New Roman"/>
                <w:color w:val="000000"/>
              </w:rPr>
            </w:pPr>
            <w:r>
              <w:rPr>
                <w:rFonts w:ascii="Times New Roman" w:hAnsi="Times New Roman" w:eastAsia="Times New Roman"/>
                <w:color w:val="000000"/>
              </w:rPr>
              <w:t xml:space="preserve">Травень </w:t>
            </w:r>
            <w:r>
              <w:rPr>
                <w:rFonts w:ascii="Times New Roman" w:hAnsi="Times New Roman" w:eastAsia="Times New Roman"/>
                <w:color w:val="000000"/>
              </w:rPr>
              <w:br w:type="textWrapping"/>
            </w:r>
            <w:r>
              <w:rPr>
                <w:rFonts w:ascii="Times New Roman" w:hAnsi="Times New Roman" w:eastAsia="Times New Roman"/>
                <w:color w:val="000000"/>
              </w:rPr>
              <w:t>2021 року.</w:t>
            </w:r>
          </w:p>
          <w:p>
            <w:pPr>
              <w:widowControl w:val="0"/>
              <w:spacing w:after="0" w:line="240" w:lineRule="auto"/>
              <w:rPr>
                <w:rFonts w:ascii="Times New Roman" w:hAnsi="Times New Roman" w:eastAsia="Times New Roman"/>
                <w:color w:val="000000"/>
              </w:rPr>
            </w:pPr>
          </w:p>
          <w:p>
            <w:pPr>
              <w:widowControl w:val="0"/>
              <w:spacing w:after="0" w:line="240" w:lineRule="auto"/>
              <w:rPr>
                <w:rFonts w:ascii="Times New Roman" w:hAnsi="Times New Roman" w:eastAsia="Times New Roman"/>
                <w:color w:val="000000"/>
              </w:rPr>
            </w:pPr>
          </w:p>
          <w:p>
            <w:pPr>
              <w:widowControl w:val="0"/>
              <w:spacing w:after="0" w:line="240" w:lineRule="auto"/>
              <w:rPr>
                <w:rFonts w:ascii="Times New Roman" w:hAnsi="Times New Roman" w:eastAsia="Times New Roman"/>
                <w:color w:val="000000"/>
              </w:rPr>
            </w:pPr>
          </w:p>
          <w:p>
            <w:pPr>
              <w:widowControl w:val="0"/>
              <w:spacing w:after="0" w:line="240" w:lineRule="auto"/>
              <w:rPr>
                <w:rFonts w:ascii="Times New Roman" w:hAnsi="Times New Roman" w:eastAsia="Times New Roman"/>
                <w:color w:val="000000"/>
                <w:sz w:val="16"/>
                <w:szCs w:val="16"/>
              </w:rPr>
            </w:pPr>
          </w:p>
          <w:p>
            <w:pPr>
              <w:widowControl w:val="0"/>
              <w:spacing w:after="0" w:line="240" w:lineRule="auto"/>
              <w:rPr>
                <w:rFonts w:ascii="Times New Roman" w:hAnsi="Times New Roman" w:eastAsia="Times New Roman"/>
                <w:color w:val="000000"/>
              </w:rPr>
            </w:pPr>
            <w:r>
              <w:rPr>
                <w:rFonts w:ascii="Times New Roman" w:hAnsi="Times New Roman" w:eastAsia="Times New Roman"/>
                <w:color w:val="000000"/>
              </w:rPr>
              <w:t xml:space="preserve">Квітень </w:t>
            </w:r>
            <w:r>
              <w:rPr>
                <w:rFonts w:ascii="Times New Roman" w:hAnsi="Times New Roman" w:eastAsia="Times New Roman"/>
                <w:color w:val="000000"/>
              </w:rPr>
              <w:br w:type="textWrapping"/>
            </w:r>
            <w:r>
              <w:rPr>
                <w:rFonts w:ascii="Times New Roman" w:hAnsi="Times New Roman" w:eastAsia="Times New Roman"/>
                <w:color w:val="000000"/>
              </w:rPr>
              <w:t>2021 року  (надалі під час прийому на роботу)</w:t>
            </w:r>
          </w:p>
          <w:p>
            <w:pPr>
              <w:widowControl w:val="0"/>
              <w:spacing w:after="0" w:line="240" w:lineRule="auto"/>
              <w:rPr>
                <w:rFonts w:ascii="Times New Roman" w:hAnsi="Times New Roman" w:eastAsia="Times New Roman"/>
                <w:color w:val="000000"/>
              </w:rPr>
            </w:pPr>
          </w:p>
          <w:p>
            <w:pPr>
              <w:widowControl w:val="0"/>
              <w:spacing w:after="0" w:line="240" w:lineRule="auto"/>
              <w:rPr>
                <w:rFonts w:ascii="Times New Roman" w:hAnsi="Times New Roman" w:eastAsia="Times New Roman"/>
                <w:color w:val="000000"/>
              </w:rPr>
            </w:pPr>
          </w:p>
          <w:p>
            <w:pPr>
              <w:widowControl w:val="0"/>
              <w:spacing w:after="0" w:line="240" w:lineRule="auto"/>
              <w:rPr>
                <w:rFonts w:ascii="Times New Roman" w:hAnsi="Times New Roman" w:eastAsia="Times New Roman"/>
                <w:color w:val="000000"/>
              </w:rPr>
            </w:pPr>
          </w:p>
        </w:tc>
        <w:tc>
          <w:tcPr>
            <w:tcW w:w="1450" w:type="dxa"/>
            <w:shd w:val="clear" w:color="auto" w:fill="auto"/>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Не потребує додаткових ресурсів</w:t>
            </w:r>
          </w:p>
          <w:p>
            <w:pPr>
              <w:widowControl w:val="0"/>
              <w:spacing w:after="0" w:line="240" w:lineRule="auto"/>
              <w:rPr>
                <w:rFonts w:ascii="Times New Roman" w:hAnsi="Times New Roman" w:eastAsia="Times New Roman"/>
                <w:color w:val="000000"/>
              </w:rPr>
            </w:pPr>
          </w:p>
        </w:tc>
        <w:tc>
          <w:tcPr>
            <w:tcW w:w="2178" w:type="dxa"/>
            <w:shd w:val="clear" w:color="auto" w:fill="auto"/>
            <w:noWrap w:val="0"/>
            <w:vAlign w:val="top"/>
          </w:tcPr>
          <w:p>
            <w:pPr>
              <w:widowControl w:val="0"/>
              <w:spacing w:after="0" w:line="240" w:lineRule="auto"/>
              <w:rPr>
                <w:rFonts w:ascii="Times New Roman" w:hAnsi="Times New Roman" w:eastAsia="Times New Roman"/>
                <w:color w:val="000000"/>
              </w:rPr>
            </w:pPr>
            <w:r>
              <w:rPr>
                <w:rFonts w:ascii="Times New Roman" w:hAnsi="Times New Roman" w:eastAsia="Times New Roman"/>
                <w:color w:val="000000"/>
              </w:rPr>
              <w:t>Затверджено порядок внутрішнього контролю в Комісії. Працівників Секретаріату Комісії письмово попереджено про персональну відповідальність за використання матеріально-технічних ресурсів в особистих цілях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591" w:type="dxa"/>
            <w:noWrap w:val="0"/>
            <w:vAlign w:val="top"/>
          </w:tcPr>
          <w:p>
            <w:pPr>
              <w:numPr>
                <w:ilvl w:val="0"/>
                <w:numId w:val="3"/>
              </w:numPr>
              <w:spacing w:after="0" w:line="240" w:lineRule="auto"/>
              <w:ind w:left="0" w:firstLine="0"/>
              <w:jc w:val="center"/>
              <w:rPr>
                <w:rFonts w:ascii="Times New Roman" w:hAnsi="Times New Roman" w:eastAsia="Times New Roman"/>
              </w:rPr>
            </w:pPr>
          </w:p>
        </w:tc>
        <w:tc>
          <w:tcPr>
            <w:tcW w:w="2552" w:type="dxa"/>
            <w:noWrap w:val="0"/>
            <w:vAlign w:val="top"/>
          </w:tcPr>
          <w:p>
            <w:pPr>
              <w:spacing w:after="0" w:line="240" w:lineRule="auto"/>
              <w:rPr>
                <w:rFonts w:ascii="Times New Roman" w:hAnsi="Times New Roman"/>
              </w:rPr>
            </w:pPr>
            <w:r>
              <w:rPr>
                <w:rFonts w:ascii="Times New Roman" w:hAnsi="Times New Roman"/>
              </w:rPr>
              <w:t xml:space="preserve">Імовірність задоволення приватного інтересу працівниками Секретаріату Комісії (інтересів третіх осіб) шляхом встановлення </w:t>
            </w:r>
          </w:p>
          <w:p>
            <w:pPr>
              <w:spacing w:after="0" w:line="240" w:lineRule="auto"/>
              <w:rPr>
                <w:rFonts w:ascii="Times New Roman" w:hAnsi="Times New Roman"/>
              </w:rPr>
            </w:pPr>
            <w:r>
              <w:rPr>
                <w:rFonts w:ascii="Times New Roman" w:hAnsi="Times New Roman"/>
              </w:rPr>
              <w:t>дискримінаційних вимог до учасників процедури публічної закупівлі, спрощеної закупівлі під час підготовки тендерної документації, оголошення про проведення спрощеної закупівлі</w:t>
            </w:r>
          </w:p>
        </w:tc>
        <w:tc>
          <w:tcPr>
            <w:tcW w:w="1250" w:type="dxa"/>
            <w:noWrap w:val="0"/>
            <w:vAlign w:val="top"/>
          </w:tcPr>
          <w:p>
            <w:pPr>
              <w:spacing w:after="0" w:line="240" w:lineRule="auto"/>
              <w:rPr>
                <w:rFonts w:ascii="Times New Roman" w:hAnsi="Times New Roman" w:eastAsia="Times New Roman"/>
                <w:lang w:eastAsia="uk-UA"/>
              </w:rPr>
            </w:pPr>
            <w:r>
              <w:rPr>
                <w:rFonts w:ascii="Times New Roman" w:hAnsi="Times New Roman" w:eastAsia="Times New Roman"/>
                <w:lang w:eastAsia="uk-UA"/>
              </w:rPr>
              <w:t>Середня</w:t>
            </w:r>
          </w:p>
        </w:tc>
        <w:tc>
          <w:tcPr>
            <w:tcW w:w="3050" w:type="dxa"/>
            <w:noWrap w:val="0"/>
            <w:vAlign w:val="top"/>
          </w:tcPr>
          <w:p>
            <w:pPr>
              <w:widowControl w:val="0"/>
              <w:numPr>
                <w:ilvl w:val="0"/>
                <w:numId w:val="13"/>
              </w:numPr>
              <w:tabs>
                <w:tab w:val="left" w:pos="285"/>
              </w:tabs>
              <w:spacing w:after="0" w:line="240" w:lineRule="auto"/>
              <w:ind w:left="0" w:firstLine="0"/>
              <w:rPr>
                <w:rFonts w:ascii="Times New Roman" w:hAnsi="Times New Roman"/>
              </w:rPr>
            </w:pPr>
            <w:r>
              <w:rPr>
                <w:rFonts w:ascii="Times New Roman" w:hAnsi="Times New Roman"/>
              </w:rPr>
              <w:t>Використання модулів аналітики  "Prozorro" на етапі підготовки тендерної документації.</w:t>
            </w:r>
          </w:p>
          <w:p>
            <w:pPr>
              <w:widowControl w:val="0"/>
              <w:tabs>
                <w:tab w:val="left" w:pos="285"/>
              </w:tabs>
              <w:spacing w:after="0" w:line="240" w:lineRule="auto"/>
              <w:rPr>
                <w:rFonts w:ascii="Times New Roman" w:hAnsi="Times New Roman"/>
              </w:rPr>
            </w:pPr>
          </w:p>
          <w:p>
            <w:pPr>
              <w:widowControl w:val="0"/>
              <w:tabs>
                <w:tab w:val="left" w:pos="285"/>
              </w:tabs>
              <w:spacing w:after="0" w:line="240" w:lineRule="auto"/>
              <w:rPr>
                <w:rFonts w:ascii="Times New Roman" w:hAnsi="Times New Roman"/>
              </w:rPr>
            </w:pPr>
          </w:p>
          <w:p>
            <w:pPr>
              <w:widowControl w:val="0"/>
              <w:tabs>
                <w:tab w:val="left" w:pos="285"/>
              </w:tabs>
              <w:spacing w:after="0" w:line="240" w:lineRule="auto"/>
              <w:rPr>
                <w:rFonts w:ascii="Times New Roman" w:hAnsi="Times New Roman"/>
              </w:rPr>
            </w:pPr>
          </w:p>
          <w:p>
            <w:pPr>
              <w:widowControl w:val="0"/>
              <w:tabs>
                <w:tab w:val="left" w:pos="285"/>
              </w:tabs>
              <w:spacing w:after="0" w:line="240" w:lineRule="auto"/>
              <w:rPr>
                <w:rFonts w:ascii="Times New Roman" w:hAnsi="Times New Roman"/>
              </w:rPr>
            </w:pPr>
          </w:p>
          <w:p>
            <w:pPr>
              <w:widowControl w:val="0"/>
              <w:tabs>
                <w:tab w:val="left" w:pos="285"/>
              </w:tabs>
              <w:spacing w:after="0" w:line="240" w:lineRule="auto"/>
              <w:rPr>
                <w:rFonts w:ascii="Times New Roman" w:hAnsi="Times New Roman"/>
              </w:rPr>
            </w:pPr>
          </w:p>
          <w:p>
            <w:pPr>
              <w:widowControl w:val="0"/>
              <w:tabs>
                <w:tab w:val="left" w:pos="285"/>
              </w:tabs>
              <w:spacing w:after="0" w:line="240" w:lineRule="auto"/>
              <w:rPr>
                <w:rFonts w:ascii="Times New Roman" w:hAnsi="Times New Roman"/>
              </w:rPr>
            </w:pPr>
          </w:p>
          <w:p>
            <w:pPr>
              <w:widowControl w:val="0"/>
              <w:tabs>
                <w:tab w:val="left" w:pos="285"/>
              </w:tabs>
              <w:spacing w:after="0" w:line="240" w:lineRule="auto"/>
              <w:rPr>
                <w:rFonts w:ascii="Times New Roman" w:hAnsi="Times New Roman"/>
              </w:rPr>
            </w:pPr>
          </w:p>
          <w:p>
            <w:pPr>
              <w:widowControl w:val="0"/>
              <w:tabs>
                <w:tab w:val="left" w:pos="285"/>
              </w:tabs>
              <w:spacing w:after="0" w:line="240" w:lineRule="auto"/>
              <w:rPr>
                <w:rFonts w:ascii="Times New Roman" w:hAnsi="Times New Roman"/>
              </w:rPr>
            </w:pPr>
          </w:p>
          <w:p>
            <w:pPr>
              <w:widowControl w:val="0"/>
              <w:numPr>
                <w:ilvl w:val="0"/>
                <w:numId w:val="13"/>
              </w:numPr>
              <w:tabs>
                <w:tab w:val="left" w:pos="285"/>
              </w:tabs>
              <w:spacing w:after="0" w:line="240" w:lineRule="auto"/>
              <w:ind w:left="0" w:firstLine="0"/>
              <w:rPr>
                <w:rFonts w:ascii="Times New Roman" w:hAnsi="Times New Roman"/>
              </w:rPr>
            </w:pPr>
            <w:r>
              <w:rPr>
                <w:rFonts w:ascii="Times New Roman" w:hAnsi="Times New Roman" w:eastAsia="Times New Roman"/>
              </w:rPr>
              <w:t>Письмове попередження</w:t>
            </w:r>
            <w:r>
              <w:rPr>
                <w:rFonts w:ascii="Times New Roman" w:hAnsi="Times New Roman"/>
              </w:rPr>
              <w:t xml:space="preserve"> кожного члена тендерного комітету про відповідальність за порушення законодавства щодо здійснення публічних закупівель та антикорупційного законодавства.</w:t>
            </w:r>
          </w:p>
          <w:p>
            <w:pPr>
              <w:widowControl w:val="0"/>
              <w:tabs>
                <w:tab w:val="left" w:pos="285"/>
              </w:tabs>
              <w:spacing w:after="0" w:line="240" w:lineRule="auto"/>
              <w:rPr>
                <w:rFonts w:ascii="Times New Roman" w:hAnsi="Times New Roman"/>
              </w:rPr>
            </w:pPr>
          </w:p>
          <w:p>
            <w:pPr>
              <w:widowControl w:val="0"/>
              <w:numPr>
                <w:ilvl w:val="0"/>
                <w:numId w:val="13"/>
              </w:numPr>
              <w:tabs>
                <w:tab w:val="left" w:pos="285"/>
              </w:tabs>
              <w:spacing w:after="0" w:line="240" w:lineRule="auto"/>
              <w:ind w:left="0" w:firstLine="0"/>
              <w:rPr>
                <w:rFonts w:ascii="Times New Roman" w:hAnsi="Times New Roman"/>
              </w:rPr>
            </w:pPr>
            <w:r>
              <w:rPr>
                <w:rFonts w:ascii="Times New Roman" w:hAnsi="Times New Roman"/>
              </w:rPr>
              <w:t>Залучення працівників сектору  з питань запобігання та виявлення корупції Секретаріату Комісії  до аналізу проєктів тендерної документації та оголошень на проведення спрощених закупівель на окремі закупівлі</w:t>
            </w:r>
          </w:p>
        </w:tc>
        <w:tc>
          <w:tcPr>
            <w:tcW w:w="2422" w:type="dxa"/>
            <w:noWrap w:val="0"/>
            <w:vAlign w:val="top"/>
          </w:tcPr>
          <w:p>
            <w:pPr>
              <w:spacing w:after="0" w:line="240" w:lineRule="auto"/>
              <w:rPr>
                <w:rFonts w:ascii="Times New Roman" w:hAnsi="Times New Roman"/>
              </w:rPr>
            </w:pPr>
            <w:r>
              <w:rPr>
                <w:rFonts w:ascii="Times New Roman" w:hAnsi="Times New Roman"/>
              </w:rPr>
              <w:t xml:space="preserve">Тендерний комітет, уповноважена особа, відповідальна за забезпечення закупівельної діяльності Центральної виборчої комісії, </w:t>
            </w:r>
            <w:r>
              <w:rPr>
                <w:rFonts w:ascii="Times New Roman" w:hAnsi="Times New Roman" w:eastAsia="Times New Roman"/>
              </w:rPr>
              <w:t>структурні підрозділи Секретаріату Комісії, які ініціюють закупівлі.</w:t>
            </w:r>
            <w:r>
              <w:rPr>
                <w:rFonts w:ascii="Times New Roman" w:hAnsi="Times New Roman"/>
              </w:rPr>
              <w:t xml:space="preserve"> </w:t>
            </w:r>
          </w:p>
          <w:p>
            <w:pPr>
              <w:spacing w:after="0" w:line="240" w:lineRule="auto"/>
              <w:rPr>
                <w:rFonts w:ascii="Times New Roman" w:hAnsi="Times New Roman"/>
              </w:rPr>
            </w:pPr>
          </w:p>
          <w:p>
            <w:pPr>
              <w:spacing w:after="0" w:line="240" w:lineRule="auto"/>
              <w:rPr>
                <w:rFonts w:ascii="Times New Roman" w:hAnsi="Times New Roman"/>
              </w:rPr>
            </w:pPr>
            <w:r>
              <w:rPr>
                <w:rFonts w:ascii="Times New Roman" w:hAnsi="Times New Roman"/>
              </w:rPr>
              <w:t xml:space="preserve">Сектор з питань запобігання та виявлення корупції </w:t>
            </w:r>
            <w:r>
              <w:rPr>
                <w:rFonts w:ascii="Times New Roman" w:hAnsi="Times New Roman" w:eastAsia="Times New Roman"/>
              </w:rPr>
              <w:t>Секретаріату Комісії</w:t>
            </w:r>
          </w:p>
          <w:p>
            <w:pPr>
              <w:spacing w:after="0" w:line="240" w:lineRule="auto"/>
              <w:rPr>
                <w:rFonts w:ascii="Times New Roman" w:hAnsi="Times New Roman"/>
              </w:rPr>
            </w:pPr>
          </w:p>
          <w:p>
            <w:pPr>
              <w:spacing w:after="0" w:line="240" w:lineRule="auto"/>
              <w:rPr>
                <w:rFonts w:ascii="Times New Roman" w:hAnsi="Times New Roman"/>
              </w:rPr>
            </w:pPr>
          </w:p>
          <w:p>
            <w:pPr>
              <w:spacing w:after="0" w:line="240" w:lineRule="auto"/>
              <w:rPr>
                <w:rFonts w:ascii="Times New Roman" w:hAnsi="Times New Roman"/>
              </w:rPr>
            </w:pPr>
          </w:p>
          <w:p>
            <w:pPr>
              <w:spacing w:after="0" w:line="240" w:lineRule="auto"/>
              <w:rPr>
                <w:rFonts w:ascii="Times New Roman" w:hAnsi="Times New Roman"/>
              </w:rPr>
            </w:pPr>
          </w:p>
          <w:p>
            <w:pPr>
              <w:spacing w:after="0" w:line="240" w:lineRule="auto"/>
              <w:rPr>
                <w:rFonts w:ascii="Times New Roman" w:hAnsi="Times New Roman"/>
              </w:rPr>
            </w:pPr>
          </w:p>
          <w:p>
            <w:pPr>
              <w:spacing w:after="0" w:line="240" w:lineRule="auto"/>
              <w:rPr>
                <w:rFonts w:ascii="Times New Roman" w:hAnsi="Times New Roman"/>
              </w:rPr>
            </w:pPr>
          </w:p>
        </w:tc>
        <w:tc>
          <w:tcPr>
            <w:tcW w:w="1693" w:type="dxa"/>
            <w:noWrap w:val="0"/>
            <w:vAlign w:val="top"/>
          </w:tcPr>
          <w:p>
            <w:pPr>
              <w:spacing w:after="0" w:line="240" w:lineRule="auto"/>
              <w:rPr>
                <w:rFonts w:ascii="Times New Roman" w:hAnsi="Times New Roman"/>
              </w:rPr>
            </w:pPr>
            <w:r>
              <w:rPr>
                <w:rFonts w:ascii="Times New Roman" w:hAnsi="Times New Roman"/>
              </w:rPr>
              <w:t xml:space="preserve">Під час підготовки тендерної документації, оголошення про проведення спрощеної закупівлі. </w:t>
            </w:r>
          </w:p>
          <w:p>
            <w:pPr>
              <w:spacing w:after="0" w:line="240" w:lineRule="auto"/>
              <w:rPr>
                <w:rFonts w:ascii="Times New Roman" w:hAnsi="Times New Roman"/>
              </w:rPr>
            </w:pPr>
          </w:p>
          <w:p>
            <w:pPr>
              <w:spacing w:after="0" w:line="240" w:lineRule="auto"/>
              <w:rPr>
                <w:rFonts w:ascii="Times New Roman" w:hAnsi="Times New Roman"/>
              </w:rPr>
            </w:pPr>
          </w:p>
          <w:p>
            <w:pPr>
              <w:spacing w:after="0" w:line="240" w:lineRule="auto"/>
              <w:rPr>
                <w:rFonts w:ascii="Times New Roman" w:hAnsi="Times New Roman"/>
              </w:rPr>
            </w:pPr>
          </w:p>
          <w:p>
            <w:pPr>
              <w:spacing w:after="0" w:line="240" w:lineRule="auto"/>
              <w:rPr>
                <w:rFonts w:ascii="Times New Roman" w:hAnsi="Times New Roman"/>
              </w:rPr>
            </w:pPr>
            <w:r>
              <w:rPr>
                <w:rFonts w:ascii="Times New Roman" w:hAnsi="Times New Roman"/>
              </w:rPr>
              <w:t xml:space="preserve">Грудень </w:t>
            </w:r>
            <w:r>
              <w:rPr>
                <w:rFonts w:ascii="Times New Roman" w:hAnsi="Times New Roman"/>
              </w:rPr>
              <w:br w:type="textWrapping"/>
            </w:r>
            <w:r>
              <w:rPr>
                <w:rFonts w:ascii="Times New Roman" w:hAnsi="Times New Roman"/>
              </w:rPr>
              <w:t>2021 року.</w:t>
            </w:r>
          </w:p>
          <w:p>
            <w:pPr>
              <w:spacing w:after="0" w:line="240" w:lineRule="auto"/>
              <w:rPr>
                <w:rFonts w:ascii="Times New Roman" w:hAnsi="Times New Roman"/>
              </w:rPr>
            </w:pPr>
          </w:p>
          <w:p>
            <w:pPr>
              <w:spacing w:after="0" w:line="240" w:lineRule="auto"/>
              <w:rPr>
                <w:rFonts w:ascii="Times New Roman" w:hAnsi="Times New Roman"/>
              </w:rPr>
            </w:pPr>
          </w:p>
          <w:p>
            <w:pPr>
              <w:spacing w:after="0" w:line="240" w:lineRule="auto"/>
              <w:rPr>
                <w:rFonts w:ascii="Times New Roman" w:hAnsi="Times New Roman"/>
              </w:rPr>
            </w:pPr>
          </w:p>
          <w:p>
            <w:pPr>
              <w:spacing w:after="0" w:line="240" w:lineRule="auto"/>
              <w:rPr>
                <w:rFonts w:ascii="Times New Roman" w:hAnsi="Times New Roman"/>
              </w:rPr>
            </w:pPr>
          </w:p>
          <w:p>
            <w:pPr>
              <w:spacing w:after="0" w:line="240" w:lineRule="auto"/>
              <w:rPr>
                <w:rFonts w:ascii="Times New Roman" w:hAnsi="Times New Roman"/>
              </w:rPr>
            </w:pPr>
          </w:p>
          <w:p>
            <w:pPr>
              <w:spacing w:after="0" w:line="240" w:lineRule="auto"/>
              <w:rPr>
                <w:rFonts w:ascii="Times New Roman" w:hAnsi="Times New Roman"/>
              </w:rPr>
            </w:pPr>
          </w:p>
          <w:p>
            <w:pPr>
              <w:spacing w:after="0" w:line="240" w:lineRule="auto"/>
              <w:rPr>
                <w:rFonts w:ascii="Times New Roman" w:hAnsi="Times New Roman"/>
              </w:rPr>
            </w:pPr>
          </w:p>
          <w:p>
            <w:pPr>
              <w:spacing w:after="0" w:line="240" w:lineRule="auto"/>
              <w:rPr>
                <w:rFonts w:ascii="Times New Roman" w:hAnsi="Times New Roman"/>
              </w:rPr>
            </w:pPr>
            <w:r>
              <w:rPr>
                <w:rFonts w:ascii="Times New Roman" w:hAnsi="Times New Roman"/>
              </w:rPr>
              <w:t>Під час підготовки проєктів тендерної документації, оголошення про проведення спрощеної закупівлі</w:t>
            </w:r>
          </w:p>
          <w:p>
            <w:pPr>
              <w:spacing w:after="0" w:line="240" w:lineRule="auto"/>
              <w:rPr>
                <w:rFonts w:ascii="Times New Roman" w:hAnsi="Times New Roman"/>
              </w:rPr>
            </w:pPr>
          </w:p>
        </w:tc>
        <w:tc>
          <w:tcPr>
            <w:tcW w:w="1450"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Не потребує додаткових ресурсів</w:t>
            </w:r>
          </w:p>
          <w:p>
            <w:pPr>
              <w:spacing w:after="0" w:line="240" w:lineRule="auto"/>
              <w:rPr>
                <w:rFonts w:ascii="Times New Roman" w:hAnsi="Times New Roman"/>
              </w:rPr>
            </w:pPr>
          </w:p>
        </w:tc>
        <w:tc>
          <w:tcPr>
            <w:tcW w:w="2178" w:type="dxa"/>
            <w:noWrap w:val="0"/>
            <w:vAlign w:val="top"/>
          </w:tcPr>
          <w:p>
            <w:pPr>
              <w:spacing w:after="0" w:line="240" w:lineRule="auto"/>
              <w:rPr>
                <w:rFonts w:ascii="Times New Roman" w:hAnsi="Times New Roman"/>
                <w:spacing w:val="-4"/>
              </w:rPr>
            </w:pPr>
            <w:r>
              <w:rPr>
                <w:rFonts w:ascii="Times New Roman" w:hAnsi="Times New Roman"/>
                <w:spacing w:val="-4"/>
              </w:rPr>
              <w:t>Підготовлено тендерну документацію, оголошення про проведення спрощеної закупівлі, які не містять дискримінаційних вимог до учасників процедури публічної закупівлі, спрощеної закупівлі.</w:t>
            </w:r>
          </w:p>
          <w:p>
            <w:pPr>
              <w:spacing w:after="0" w:line="240" w:lineRule="auto"/>
              <w:rPr>
                <w:rFonts w:ascii="Times New Roman" w:hAnsi="Times New Roman"/>
                <w:spacing w:val="-4"/>
              </w:rPr>
            </w:pPr>
            <w:r>
              <w:rPr>
                <w:rFonts w:ascii="Times New Roman" w:hAnsi="Times New Roman"/>
                <w:spacing w:val="-4"/>
              </w:rPr>
              <w:t>Членів тендерного комітету, уповноважену особу, відповідальну за організацію та проведення спрощених закупівель, письмово попереджено про відповідальність за порушення законодавства щодо здійснення публічних закупівель та антикорупційного законодавства. Працівників сектору з питань запобігання та виявлення корупції Секретаріату Комісії залучено до аналізу проєктів тендерної документації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591" w:type="dxa"/>
            <w:noWrap w:val="0"/>
            <w:vAlign w:val="top"/>
          </w:tcPr>
          <w:p>
            <w:pPr>
              <w:numPr>
                <w:ilvl w:val="0"/>
                <w:numId w:val="3"/>
              </w:numPr>
              <w:spacing w:after="0" w:line="240" w:lineRule="auto"/>
              <w:ind w:left="0" w:firstLine="0"/>
              <w:jc w:val="center"/>
              <w:rPr>
                <w:rFonts w:ascii="Times New Roman" w:hAnsi="Times New Roman" w:eastAsia="Times New Roman"/>
              </w:rPr>
            </w:pPr>
          </w:p>
        </w:tc>
        <w:tc>
          <w:tcPr>
            <w:tcW w:w="2552" w:type="dxa"/>
            <w:noWrap w:val="0"/>
            <w:vAlign w:val="top"/>
          </w:tcPr>
          <w:p>
            <w:pPr>
              <w:spacing w:after="0" w:line="240" w:lineRule="auto"/>
              <w:rPr>
                <w:rFonts w:ascii="Times New Roman" w:hAnsi="Times New Roman" w:eastAsia="Times New Roman"/>
              </w:rPr>
            </w:pPr>
            <w:r>
              <w:rPr>
                <w:rFonts w:ascii="Times New Roman" w:hAnsi="Times New Roman" w:eastAsia="Times New Roman"/>
              </w:rPr>
              <w:t>Можливість впливу зацікавлених осіб на працівників Секретаріату Комісії під час визначення постачальників товарів, робіт та послуг у процесі укладання договорів без застосування електронної системи закупівель з огляду на дискреційні повноваження  щодо вирішення зазначеного питання</w:t>
            </w:r>
          </w:p>
        </w:tc>
        <w:tc>
          <w:tcPr>
            <w:tcW w:w="1250" w:type="dxa"/>
            <w:noWrap w:val="0"/>
            <w:vAlign w:val="top"/>
          </w:tcPr>
          <w:p>
            <w:pPr>
              <w:spacing w:after="0" w:line="240" w:lineRule="auto"/>
              <w:rPr>
                <w:rFonts w:ascii="Times New Roman" w:hAnsi="Times New Roman" w:eastAsia="Times New Roman"/>
              </w:rPr>
            </w:pPr>
            <w:r>
              <w:rPr>
                <w:rFonts w:ascii="Times New Roman" w:hAnsi="Times New Roman" w:eastAsia="Times New Roman"/>
              </w:rPr>
              <w:t>Низька</w:t>
            </w:r>
          </w:p>
        </w:tc>
        <w:tc>
          <w:tcPr>
            <w:tcW w:w="3050" w:type="dxa"/>
            <w:noWrap w:val="0"/>
            <w:vAlign w:val="top"/>
          </w:tcPr>
          <w:p>
            <w:pPr>
              <w:numPr>
                <w:ilvl w:val="0"/>
                <w:numId w:val="14"/>
              </w:numPr>
              <w:tabs>
                <w:tab w:val="left" w:pos="285"/>
              </w:tabs>
              <w:spacing w:after="0" w:line="240" w:lineRule="auto"/>
              <w:ind w:left="0" w:firstLine="0"/>
              <w:rPr>
                <w:rFonts w:ascii="Times New Roman" w:hAnsi="Times New Roman" w:eastAsia="Times New Roman"/>
              </w:rPr>
            </w:pPr>
            <w:r>
              <w:rPr>
                <w:rFonts w:ascii="Times New Roman" w:hAnsi="Times New Roman" w:eastAsia="Times New Roman"/>
              </w:rPr>
              <w:t>Розробка проєкту порядку організації закупівельної діяльності та подання його на затвердження Комісії.</w:t>
            </w:r>
          </w:p>
          <w:p>
            <w:pPr>
              <w:tabs>
                <w:tab w:val="left" w:pos="285"/>
              </w:tabs>
              <w:spacing w:after="0" w:line="240" w:lineRule="auto"/>
              <w:rPr>
                <w:rFonts w:ascii="Times New Roman" w:hAnsi="Times New Roman" w:eastAsia="Times New Roman"/>
              </w:rPr>
            </w:pPr>
          </w:p>
          <w:p>
            <w:pPr>
              <w:tabs>
                <w:tab w:val="left" w:pos="285"/>
              </w:tabs>
              <w:spacing w:after="0" w:line="240" w:lineRule="auto"/>
              <w:rPr>
                <w:rFonts w:ascii="Times New Roman" w:hAnsi="Times New Roman" w:eastAsia="Times New Roman"/>
              </w:rPr>
            </w:pPr>
          </w:p>
          <w:p>
            <w:pPr>
              <w:tabs>
                <w:tab w:val="left" w:pos="285"/>
              </w:tabs>
              <w:spacing w:after="0" w:line="240" w:lineRule="auto"/>
              <w:rPr>
                <w:rFonts w:ascii="Times New Roman" w:hAnsi="Times New Roman" w:eastAsia="Times New Roman"/>
              </w:rPr>
            </w:pPr>
          </w:p>
          <w:p>
            <w:pPr>
              <w:tabs>
                <w:tab w:val="left" w:pos="285"/>
              </w:tabs>
              <w:spacing w:after="0" w:line="240" w:lineRule="auto"/>
              <w:rPr>
                <w:rFonts w:ascii="Times New Roman" w:hAnsi="Times New Roman" w:eastAsia="Times New Roman"/>
              </w:rPr>
            </w:pPr>
          </w:p>
          <w:p>
            <w:pPr>
              <w:tabs>
                <w:tab w:val="left" w:pos="285"/>
              </w:tabs>
              <w:spacing w:after="0" w:line="240" w:lineRule="auto"/>
              <w:rPr>
                <w:rFonts w:ascii="Times New Roman" w:hAnsi="Times New Roman" w:eastAsia="Times New Roman"/>
              </w:rPr>
            </w:pPr>
          </w:p>
          <w:p>
            <w:pPr>
              <w:tabs>
                <w:tab w:val="left" w:pos="285"/>
              </w:tabs>
              <w:spacing w:after="0" w:line="240" w:lineRule="auto"/>
              <w:rPr>
                <w:rFonts w:ascii="Times New Roman" w:hAnsi="Times New Roman" w:eastAsia="Times New Roman"/>
              </w:rPr>
            </w:pPr>
          </w:p>
          <w:p>
            <w:pPr>
              <w:tabs>
                <w:tab w:val="left" w:pos="285"/>
              </w:tabs>
              <w:spacing w:after="0" w:line="240" w:lineRule="auto"/>
              <w:rPr>
                <w:rFonts w:ascii="Times New Roman" w:hAnsi="Times New Roman" w:eastAsia="Times New Roman"/>
              </w:rPr>
            </w:pPr>
          </w:p>
          <w:p>
            <w:pPr>
              <w:tabs>
                <w:tab w:val="left" w:pos="285"/>
              </w:tabs>
              <w:spacing w:after="0" w:line="240" w:lineRule="auto"/>
              <w:rPr>
                <w:rFonts w:ascii="Times New Roman" w:hAnsi="Times New Roman" w:eastAsia="Times New Roman"/>
                <w:sz w:val="10"/>
              </w:rPr>
            </w:pPr>
          </w:p>
          <w:p>
            <w:pPr>
              <w:numPr>
                <w:ilvl w:val="0"/>
                <w:numId w:val="14"/>
              </w:numPr>
              <w:tabs>
                <w:tab w:val="left" w:pos="285"/>
              </w:tabs>
              <w:spacing w:after="0" w:line="223" w:lineRule="auto"/>
              <w:ind w:left="0" w:firstLine="0"/>
              <w:rPr>
                <w:rFonts w:ascii="Times New Roman" w:hAnsi="Times New Roman" w:eastAsia="Times New Roman"/>
              </w:rPr>
            </w:pPr>
            <w:r>
              <w:rPr>
                <w:rFonts w:ascii="Times New Roman" w:hAnsi="Times New Roman" w:eastAsia="Times New Roman"/>
              </w:rPr>
              <w:t>Посилення контролю за здійсненням спрощених закупівель шляхом запровадження моніторингу ринку товарів, робіт чи послуг з метою виявлення найнижчої ціни відповідних товарів, робіт чи послуг та відбору постачальника товарів, надавача послуг чи виконавця робіт; перевірки запропонованих товарів/робіт/послуг на відповідність необхідним технічним характеристикам</w:t>
            </w:r>
          </w:p>
        </w:tc>
        <w:tc>
          <w:tcPr>
            <w:tcW w:w="2422" w:type="dxa"/>
            <w:noWrap w:val="0"/>
            <w:vAlign w:val="top"/>
          </w:tcPr>
          <w:p>
            <w:pPr>
              <w:spacing w:after="0" w:line="240" w:lineRule="auto"/>
              <w:rPr>
                <w:rFonts w:ascii="Times New Roman" w:hAnsi="Times New Roman" w:eastAsia="Times New Roman"/>
              </w:rPr>
            </w:pPr>
            <w:r>
              <w:rPr>
                <w:rFonts w:ascii="Times New Roman" w:hAnsi="Times New Roman" w:eastAsia="Times New Roman"/>
              </w:rPr>
              <w:t>Керівництво Секретаріату Комісії,  управління господарського та матеріально-технічного забезпечення, відділ внутрішнього контролю Секретаріату Комісії.</w:t>
            </w:r>
          </w:p>
          <w:p>
            <w:pPr>
              <w:spacing w:after="0" w:line="240" w:lineRule="auto"/>
              <w:rPr>
                <w:rFonts w:ascii="Times New Roman" w:hAnsi="Times New Roman" w:eastAsia="Times New Roman"/>
                <w:sz w:val="16"/>
                <w:szCs w:val="16"/>
              </w:rPr>
            </w:pPr>
          </w:p>
          <w:p>
            <w:pPr>
              <w:spacing w:after="0" w:line="240" w:lineRule="auto"/>
              <w:rPr>
                <w:rFonts w:ascii="Times New Roman" w:hAnsi="Times New Roman" w:eastAsia="Times New Roman"/>
                <w:sz w:val="10"/>
              </w:rPr>
            </w:pPr>
          </w:p>
          <w:p>
            <w:pPr>
              <w:spacing w:after="0" w:line="240" w:lineRule="auto"/>
              <w:rPr>
                <w:rFonts w:ascii="Times New Roman" w:hAnsi="Times New Roman" w:eastAsia="Times New Roman"/>
              </w:rPr>
            </w:pPr>
            <w:r>
              <w:rPr>
                <w:rFonts w:ascii="Times New Roman" w:hAnsi="Times New Roman" w:eastAsia="Times New Roman"/>
              </w:rPr>
              <w:t>Відділ внутрішнього контролю Секретаріату Комісії</w:t>
            </w:r>
          </w:p>
        </w:tc>
        <w:tc>
          <w:tcPr>
            <w:tcW w:w="1693" w:type="dxa"/>
            <w:noWrap w:val="0"/>
            <w:vAlign w:val="top"/>
          </w:tcPr>
          <w:p>
            <w:pPr>
              <w:spacing w:after="0" w:line="240" w:lineRule="auto"/>
              <w:rPr>
                <w:rFonts w:ascii="Times New Roman" w:hAnsi="Times New Roman" w:eastAsia="Times New Roman"/>
              </w:rPr>
            </w:pPr>
            <w:r>
              <w:rPr>
                <w:rFonts w:ascii="Times New Roman" w:hAnsi="Times New Roman" w:eastAsia="Times New Roman"/>
              </w:rPr>
              <w:t xml:space="preserve">Грудень </w:t>
            </w:r>
            <w:r>
              <w:rPr>
                <w:rFonts w:ascii="Times New Roman" w:hAnsi="Times New Roman" w:eastAsia="Times New Roman"/>
              </w:rPr>
              <w:br w:type="textWrapping"/>
            </w:r>
            <w:r>
              <w:rPr>
                <w:rFonts w:ascii="Times New Roman" w:hAnsi="Times New Roman" w:eastAsia="Times New Roman"/>
              </w:rPr>
              <w:t>2021 року.</w:t>
            </w: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r>
              <w:rPr>
                <w:rFonts w:ascii="Times New Roman" w:hAnsi="Times New Roman" w:eastAsia="Times New Roman"/>
              </w:rPr>
              <w:t>Під час здійснення закупівель без застосування електронної системи закупівель</w:t>
            </w:r>
          </w:p>
        </w:tc>
        <w:tc>
          <w:tcPr>
            <w:tcW w:w="1450"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Не потребує додаткових ресурсів</w:t>
            </w:r>
          </w:p>
          <w:p>
            <w:pPr>
              <w:spacing w:after="0" w:line="240" w:lineRule="auto"/>
              <w:rPr>
                <w:rFonts w:ascii="Times New Roman" w:hAnsi="Times New Roman" w:eastAsia="Times New Roman"/>
              </w:rPr>
            </w:pPr>
          </w:p>
        </w:tc>
        <w:tc>
          <w:tcPr>
            <w:tcW w:w="2178" w:type="dxa"/>
            <w:noWrap w:val="0"/>
            <w:vAlign w:val="top"/>
          </w:tcPr>
          <w:p>
            <w:pPr>
              <w:widowControl w:val="0"/>
              <w:spacing w:after="0" w:line="240" w:lineRule="auto"/>
              <w:rPr>
                <w:rFonts w:ascii="Times New Roman" w:hAnsi="Times New Roman" w:eastAsia="Times New Roman"/>
              </w:rPr>
            </w:pPr>
            <w:r>
              <w:rPr>
                <w:rFonts w:ascii="Times New Roman" w:hAnsi="Times New Roman" w:eastAsia="Times New Roman"/>
              </w:rPr>
              <w:t>Затверджено порядок організації закупівельної діяльності. Не встановлено фактів навмисного завищення обсягів замовлень для використання надлишку в особистих цілях, зменшення витрат Комісії. Забезпечено раціональне та ефективне  використання фінансових ресурсів</w:t>
            </w:r>
          </w:p>
          <w:p>
            <w:pPr>
              <w:spacing w:after="0" w:line="240" w:lineRule="auto"/>
              <w:rPr>
                <w:rFonts w:ascii="Times New Roman" w:hAnsi="Times New Roman" w:eastAsia="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15186" w:type="dxa"/>
            <w:gridSpan w:val="8"/>
            <w:noWrap w:val="0"/>
            <w:vAlign w:val="top"/>
          </w:tcPr>
          <w:p>
            <w:pPr>
              <w:spacing w:after="0" w:line="240" w:lineRule="auto"/>
              <w:jc w:val="center"/>
              <w:rPr>
                <w:rFonts w:ascii="Times New Roman" w:hAnsi="Times New Roman" w:eastAsia="Times New Roman"/>
                <w:b/>
              </w:rPr>
            </w:pPr>
            <w:r>
              <w:rPr>
                <w:rFonts w:ascii="Times New Roman" w:hAnsi="Times New Roman"/>
                <w:b/>
                <w:bCs/>
                <w:color w:val="000000"/>
                <w:sz w:val="24"/>
                <w:szCs w:val="24"/>
                <w:lang w:eastAsia="uk-UA"/>
              </w:rPr>
              <w:t>Внутрішній аудит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591" w:type="dxa"/>
            <w:noWrap w:val="0"/>
            <w:vAlign w:val="top"/>
          </w:tcPr>
          <w:p>
            <w:pPr>
              <w:numPr>
                <w:ilvl w:val="0"/>
                <w:numId w:val="3"/>
              </w:numPr>
              <w:spacing w:after="0" w:line="240" w:lineRule="auto"/>
              <w:ind w:left="0" w:firstLine="0"/>
              <w:jc w:val="center"/>
              <w:rPr>
                <w:rFonts w:ascii="Times New Roman" w:hAnsi="Times New Roman" w:eastAsia="Times New Roman"/>
              </w:rPr>
            </w:pPr>
          </w:p>
        </w:tc>
        <w:tc>
          <w:tcPr>
            <w:tcW w:w="2552" w:type="dxa"/>
            <w:noWrap w:val="0"/>
            <w:vAlign w:val="top"/>
          </w:tcPr>
          <w:p>
            <w:pPr>
              <w:widowControl w:val="0"/>
              <w:spacing w:after="0" w:line="216" w:lineRule="auto"/>
              <w:rPr>
                <w:rFonts w:ascii="Times New Roman" w:hAnsi="Times New Roman"/>
                <w:spacing w:val="-4"/>
              </w:rPr>
            </w:pPr>
            <w:r>
              <w:rPr>
                <w:rFonts w:ascii="Times New Roman" w:hAnsi="Times New Roman"/>
              </w:rPr>
              <w:t>Можливе задоволення приватних інтересів працівниками сектору внутрішнього аудиту Секретаріату Комісії у зв’язку з плануванням та проведенням внутрішніх аудитів, здійснення заходів внутрішнього аудиту</w:t>
            </w:r>
          </w:p>
        </w:tc>
        <w:tc>
          <w:tcPr>
            <w:tcW w:w="1250" w:type="dxa"/>
            <w:noWrap w:val="0"/>
            <w:vAlign w:val="top"/>
          </w:tcPr>
          <w:p>
            <w:pPr>
              <w:widowControl w:val="0"/>
              <w:spacing w:after="0" w:line="240" w:lineRule="auto"/>
              <w:rPr>
                <w:rFonts w:ascii="Times New Roman" w:hAnsi="Times New Roman" w:eastAsia="Times New Roman"/>
              </w:rPr>
            </w:pPr>
            <w:r>
              <w:rPr>
                <w:rFonts w:ascii="Times New Roman" w:hAnsi="Times New Roman" w:eastAsia="Times New Roman"/>
              </w:rPr>
              <w:t>Низька</w:t>
            </w:r>
          </w:p>
        </w:tc>
        <w:tc>
          <w:tcPr>
            <w:tcW w:w="3050" w:type="dxa"/>
            <w:noWrap w:val="0"/>
            <w:vAlign w:val="top"/>
          </w:tcPr>
          <w:p>
            <w:pPr>
              <w:widowControl w:val="0"/>
              <w:spacing w:after="0" w:line="240" w:lineRule="auto"/>
              <w:rPr>
                <w:rFonts w:ascii="Times New Roman" w:hAnsi="Times New Roman" w:eastAsia="Times New Roman"/>
              </w:rPr>
            </w:pPr>
            <w:r>
              <w:rPr>
                <w:rFonts w:ascii="Times New Roman" w:hAnsi="Times New Roman" w:eastAsia="Times New Roman"/>
              </w:rPr>
              <w:t>Розробка та затвердження порядку здійснення внутрішнього аудиту, яким буде визначено процедуру планування, звітування та проведення заходів внутрішнього аудиту</w:t>
            </w:r>
          </w:p>
          <w:p>
            <w:pPr>
              <w:widowControl w:val="0"/>
              <w:spacing w:after="0" w:line="240" w:lineRule="auto"/>
              <w:rPr>
                <w:rFonts w:ascii="Times New Roman" w:hAnsi="Times New Roman" w:eastAsia="Times New Roman"/>
              </w:rPr>
            </w:pPr>
            <w:r>
              <w:rPr>
                <w:rFonts w:ascii="Times New Roman" w:hAnsi="Times New Roman" w:eastAsia="Times New Roman"/>
              </w:rPr>
              <w:t xml:space="preserve"> </w:t>
            </w:r>
          </w:p>
        </w:tc>
        <w:tc>
          <w:tcPr>
            <w:tcW w:w="2422" w:type="dxa"/>
            <w:noWrap w:val="0"/>
            <w:vAlign w:val="top"/>
          </w:tcPr>
          <w:p>
            <w:pPr>
              <w:widowControl w:val="0"/>
              <w:spacing w:after="0" w:line="240" w:lineRule="auto"/>
              <w:rPr>
                <w:rFonts w:ascii="Times New Roman" w:hAnsi="Times New Roman" w:eastAsia="Times New Roman"/>
              </w:rPr>
            </w:pPr>
            <w:r>
              <w:rPr>
                <w:rFonts w:ascii="Times New Roman" w:hAnsi="Times New Roman" w:eastAsia="Times New Roman"/>
              </w:rPr>
              <w:t>Сектор внутрішнього аудиту Секретаріату Комісії</w:t>
            </w:r>
          </w:p>
          <w:p>
            <w:pPr>
              <w:widowControl w:val="0"/>
              <w:spacing w:after="0" w:line="240" w:lineRule="auto"/>
              <w:rPr>
                <w:rFonts w:ascii="Times New Roman" w:hAnsi="Times New Roman" w:eastAsia="Times New Roman"/>
              </w:rPr>
            </w:pPr>
          </w:p>
          <w:p>
            <w:pPr>
              <w:widowControl w:val="0"/>
              <w:spacing w:after="0" w:line="240" w:lineRule="auto"/>
              <w:rPr>
                <w:rFonts w:ascii="Times New Roman" w:hAnsi="Times New Roman" w:eastAsia="Times New Roman"/>
              </w:rPr>
            </w:pPr>
          </w:p>
          <w:p>
            <w:pPr>
              <w:widowControl w:val="0"/>
              <w:spacing w:after="0" w:line="240" w:lineRule="auto"/>
              <w:rPr>
                <w:rFonts w:ascii="Times New Roman" w:hAnsi="Times New Roman" w:eastAsia="Times New Roman"/>
              </w:rPr>
            </w:pPr>
          </w:p>
          <w:p>
            <w:pPr>
              <w:widowControl w:val="0"/>
              <w:spacing w:after="0" w:line="240" w:lineRule="auto"/>
              <w:rPr>
                <w:rFonts w:ascii="Times New Roman" w:hAnsi="Times New Roman" w:eastAsia="Times New Roman"/>
              </w:rPr>
            </w:pPr>
          </w:p>
          <w:p>
            <w:pPr>
              <w:widowControl w:val="0"/>
              <w:spacing w:after="0" w:line="240" w:lineRule="auto"/>
              <w:rPr>
                <w:rFonts w:ascii="Times New Roman" w:hAnsi="Times New Roman" w:eastAsia="Times New Roman"/>
              </w:rPr>
            </w:pPr>
          </w:p>
        </w:tc>
        <w:tc>
          <w:tcPr>
            <w:tcW w:w="1693" w:type="dxa"/>
            <w:noWrap w:val="0"/>
            <w:vAlign w:val="top"/>
          </w:tcPr>
          <w:p>
            <w:pPr>
              <w:widowControl w:val="0"/>
              <w:spacing w:after="0" w:line="240" w:lineRule="auto"/>
              <w:rPr>
                <w:rFonts w:ascii="Times New Roman" w:hAnsi="Times New Roman" w:eastAsia="Times New Roman"/>
              </w:rPr>
            </w:pPr>
            <w:r>
              <w:rPr>
                <w:rFonts w:ascii="Times New Roman" w:hAnsi="Times New Roman" w:eastAsia="Times New Roman"/>
              </w:rPr>
              <w:t xml:space="preserve">Липень </w:t>
            </w:r>
            <w:r>
              <w:rPr>
                <w:rFonts w:ascii="Times New Roman" w:hAnsi="Times New Roman" w:eastAsia="Times New Roman"/>
              </w:rPr>
              <w:br w:type="textWrapping"/>
            </w:r>
            <w:r>
              <w:rPr>
                <w:rFonts w:ascii="Times New Roman" w:hAnsi="Times New Roman" w:eastAsia="Times New Roman"/>
              </w:rPr>
              <w:t>2021 року</w:t>
            </w:r>
          </w:p>
          <w:p>
            <w:pPr>
              <w:widowControl w:val="0"/>
              <w:spacing w:after="0" w:line="240" w:lineRule="auto"/>
              <w:rPr>
                <w:rFonts w:ascii="Times New Roman" w:hAnsi="Times New Roman" w:eastAsia="Times New Roman"/>
              </w:rPr>
            </w:pPr>
          </w:p>
          <w:p>
            <w:pPr>
              <w:widowControl w:val="0"/>
              <w:spacing w:after="0" w:line="240" w:lineRule="auto"/>
              <w:rPr>
                <w:rFonts w:ascii="Times New Roman" w:hAnsi="Times New Roman" w:eastAsia="Times New Roman"/>
              </w:rPr>
            </w:pPr>
          </w:p>
          <w:p>
            <w:pPr>
              <w:widowControl w:val="0"/>
              <w:spacing w:after="0" w:line="240" w:lineRule="auto"/>
              <w:rPr>
                <w:rFonts w:ascii="Times New Roman" w:hAnsi="Times New Roman" w:eastAsia="Times New Roman"/>
              </w:rPr>
            </w:pPr>
          </w:p>
          <w:p>
            <w:pPr>
              <w:widowControl w:val="0"/>
              <w:spacing w:after="0" w:line="240" w:lineRule="auto"/>
              <w:rPr>
                <w:rFonts w:ascii="Times New Roman" w:hAnsi="Times New Roman" w:eastAsia="Times New Roman"/>
              </w:rPr>
            </w:pPr>
          </w:p>
          <w:p>
            <w:pPr>
              <w:widowControl w:val="0"/>
              <w:spacing w:after="0" w:line="240" w:lineRule="auto"/>
              <w:rPr>
                <w:rFonts w:ascii="Times New Roman" w:hAnsi="Times New Roman" w:eastAsia="Times New Roman"/>
              </w:rPr>
            </w:pPr>
          </w:p>
          <w:p>
            <w:pPr>
              <w:widowControl w:val="0"/>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tc>
        <w:tc>
          <w:tcPr>
            <w:tcW w:w="1450"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Не потребує додаткових ресурсів</w:t>
            </w:r>
          </w:p>
          <w:p>
            <w:pPr>
              <w:widowControl w:val="0"/>
              <w:spacing w:after="0" w:line="240" w:lineRule="auto"/>
              <w:rPr>
                <w:rFonts w:ascii="Times New Roman" w:hAnsi="Times New Roman" w:eastAsia="Times New Roman"/>
              </w:rPr>
            </w:pPr>
          </w:p>
        </w:tc>
        <w:tc>
          <w:tcPr>
            <w:tcW w:w="2178" w:type="dxa"/>
            <w:noWrap w:val="0"/>
            <w:vAlign w:val="top"/>
          </w:tcPr>
          <w:p>
            <w:pPr>
              <w:widowControl w:val="0"/>
              <w:spacing w:after="0" w:line="240" w:lineRule="auto"/>
              <w:rPr>
                <w:rFonts w:ascii="Times New Roman" w:hAnsi="Times New Roman" w:eastAsia="Times New Roman"/>
              </w:rPr>
            </w:pPr>
            <w:r>
              <w:rPr>
                <w:rFonts w:ascii="Times New Roman" w:hAnsi="Times New Roman" w:eastAsia="Times New Roman"/>
              </w:rPr>
              <w:t xml:space="preserve">Затверджено порядок здійснення внутрішнього аудиту </w:t>
            </w:r>
          </w:p>
          <w:p>
            <w:pPr>
              <w:widowControl w:val="0"/>
              <w:spacing w:after="0" w:line="240" w:lineRule="auto"/>
              <w:rPr>
                <w:rFonts w:ascii="Times New Roman" w:hAnsi="Times New Roman" w:eastAsia="Times New Roman"/>
              </w:rPr>
            </w:pPr>
          </w:p>
          <w:p>
            <w:pPr>
              <w:widowControl w:val="0"/>
              <w:spacing w:after="0" w:line="240" w:lineRule="auto"/>
              <w:rPr>
                <w:rFonts w:ascii="Times New Roman" w:hAnsi="Times New Roman" w:eastAsia="Times New Roman"/>
                <w:strik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591" w:type="dxa"/>
            <w:shd w:val="clear" w:color="auto" w:fill="auto"/>
            <w:noWrap w:val="0"/>
            <w:vAlign w:val="top"/>
          </w:tcPr>
          <w:p>
            <w:pPr>
              <w:numPr>
                <w:ilvl w:val="0"/>
                <w:numId w:val="3"/>
              </w:numPr>
              <w:spacing w:after="0" w:line="240" w:lineRule="auto"/>
              <w:ind w:left="0" w:firstLine="0"/>
              <w:jc w:val="center"/>
              <w:rPr>
                <w:rFonts w:ascii="Times New Roman" w:hAnsi="Times New Roman" w:eastAsia="Times New Roman"/>
              </w:rPr>
            </w:pPr>
          </w:p>
        </w:tc>
        <w:tc>
          <w:tcPr>
            <w:tcW w:w="2552" w:type="dxa"/>
            <w:shd w:val="clear" w:color="auto" w:fill="auto"/>
            <w:noWrap w:val="0"/>
            <w:vAlign w:val="top"/>
          </w:tcPr>
          <w:p>
            <w:pPr>
              <w:widowControl w:val="0"/>
              <w:spacing w:after="0" w:line="240" w:lineRule="auto"/>
              <w:rPr>
                <w:rFonts w:ascii="Times New Roman" w:hAnsi="Times New Roman"/>
              </w:rPr>
            </w:pPr>
            <w:r>
              <w:rPr>
                <w:rFonts w:ascii="Times New Roman" w:hAnsi="Times New Roman"/>
              </w:rPr>
              <w:t>Можливе задоволення приватних інтересів працівниками сектору внутрішнього аудиту Секретаріату Комісії під час підготовки звіту про результати внутрішнього аудиту та відповідних висновків і рекомендацій</w:t>
            </w:r>
          </w:p>
        </w:tc>
        <w:tc>
          <w:tcPr>
            <w:tcW w:w="1250" w:type="dxa"/>
            <w:shd w:val="clear" w:color="auto" w:fill="auto"/>
            <w:noWrap w:val="0"/>
            <w:vAlign w:val="top"/>
          </w:tcPr>
          <w:p>
            <w:pPr>
              <w:widowControl w:val="0"/>
              <w:spacing w:after="0" w:line="240" w:lineRule="auto"/>
              <w:rPr>
                <w:rFonts w:ascii="Times New Roman" w:hAnsi="Times New Roman" w:eastAsia="Times New Roman"/>
              </w:rPr>
            </w:pPr>
            <w:r>
              <w:rPr>
                <w:rFonts w:ascii="Times New Roman" w:hAnsi="Times New Roman" w:eastAsia="Times New Roman"/>
              </w:rPr>
              <w:t>Низька</w:t>
            </w:r>
          </w:p>
        </w:tc>
        <w:tc>
          <w:tcPr>
            <w:tcW w:w="3050" w:type="dxa"/>
            <w:shd w:val="clear" w:color="auto" w:fill="auto"/>
            <w:noWrap w:val="0"/>
            <w:vAlign w:val="top"/>
          </w:tcPr>
          <w:p>
            <w:pPr>
              <w:widowControl w:val="0"/>
              <w:numPr>
                <w:ilvl w:val="0"/>
                <w:numId w:val="15"/>
              </w:numPr>
              <w:tabs>
                <w:tab w:val="left" w:pos="285"/>
              </w:tabs>
              <w:spacing w:after="0" w:line="240" w:lineRule="auto"/>
              <w:ind w:left="0" w:firstLine="0"/>
              <w:rPr>
                <w:rFonts w:ascii="Times New Roman" w:hAnsi="Times New Roman" w:eastAsia="Times New Roman"/>
              </w:rPr>
            </w:pPr>
            <w:r>
              <w:rPr>
                <w:rFonts w:ascii="Times New Roman" w:hAnsi="Times New Roman"/>
              </w:rPr>
              <w:t>Підготовка працівником сектору внутрішнього аудиту Секретаріату Комісії  звіту про результати внутрішнього аудиту та відповідних висновків і рекомендацій</w:t>
            </w:r>
            <w:r>
              <w:rPr>
                <w:rFonts w:ascii="Times New Roman" w:hAnsi="Times New Roman" w:eastAsia="Times New Roman"/>
              </w:rPr>
              <w:t>.</w:t>
            </w:r>
          </w:p>
          <w:p>
            <w:pPr>
              <w:widowControl w:val="0"/>
              <w:tabs>
                <w:tab w:val="left" w:pos="285"/>
              </w:tabs>
              <w:spacing w:after="0" w:line="240" w:lineRule="auto"/>
              <w:rPr>
                <w:rFonts w:ascii="Times New Roman" w:hAnsi="Times New Roman" w:eastAsia="Times New Roman"/>
              </w:rPr>
            </w:pPr>
          </w:p>
          <w:p>
            <w:pPr>
              <w:widowControl w:val="0"/>
              <w:tabs>
                <w:tab w:val="left" w:pos="285"/>
              </w:tabs>
              <w:spacing w:after="0" w:line="240" w:lineRule="auto"/>
              <w:rPr>
                <w:rFonts w:ascii="Times New Roman" w:hAnsi="Times New Roman" w:eastAsia="Times New Roman"/>
              </w:rPr>
            </w:pPr>
          </w:p>
          <w:p>
            <w:pPr>
              <w:widowControl w:val="0"/>
              <w:tabs>
                <w:tab w:val="left" w:pos="285"/>
              </w:tabs>
              <w:spacing w:after="0" w:line="240" w:lineRule="auto"/>
              <w:rPr>
                <w:rFonts w:ascii="Times New Roman" w:hAnsi="Times New Roman" w:eastAsia="Times New Roman"/>
              </w:rPr>
            </w:pPr>
          </w:p>
          <w:p>
            <w:pPr>
              <w:widowControl w:val="0"/>
              <w:tabs>
                <w:tab w:val="left" w:pos="285"/>
              </w:tabs>
              <w:spacing w:after="0" w:line="240" w:lineRule="auto"/>
              <w:rPr>
                <w:rFonts w:ascii="Times New Roman" w:hAnsi="Times New Roman" w:eastAsia="Times New Roman"/>
              </w:rPr>
            </w:pPr>
          </w:p>
          <w:p>
            <w:pPr>
              <w:widowControl w:val="0"/>
              <w:numPr>
                <w:ilvl w:val="0"/>
                <w:numId w:val="15"/>
              </w:numPr>
              <w:tabs>
                <w:tab w:val="left" w:pos="285"/>
              </w:tabs>
              <w:spacing w:after="0" w:line="240" w:lineRule="auto"/>
              <w:ind w:left="0" w:firstLine="0"/>
              <w:rPr>
                <w:rFonts w:ascii="Times New Roman" w:hAnsi="Times New Roman" w:eastAsia="Times New Roman"/>
              </w:rPr>
            </w:pPr>
            <w:r>
              <w:rPr>
                <w:rFonts w:ascii="Times New Roman" w:hAnsi="Times New Roman" w:eastAsia="Times New Roman"/>
              </w:rPr>
              <w:t>Письмове попередження працівників сектору внутрішнього аудиту Секретаріату Комісії про відповідальність у разі порушення норм законодавства з питань запобігання корупції, проведення внутрішніх аудитів тощо</w:t>
            </w:r>
          </w:p>
        </w:tc>
        <w:tc>
          <w:tcPr>
            <w:tcW w:w="2422" w:type="dxa"/>
            <w:shd w:val="clear" w:color="auto" w:fill="auto"/>
            <w:noWrap w:val="0"/>
            <w:vAlign w:val="top"/>
          </w:tcPr>
          <w:p>
            <w:pPr>
              <w:widowControl w:val="0"/>
              <w:spacing w:after="0" w:line="240" w:lineRule="auto"/>
              <w:rPr>
                <w:rFonts w:ascii="Times New Roman" w:hAnsi="Times New Roman" w:eastAsia="Times New Roman"/>
              </w:rPr>
            </w:pPr>
            <w:r>
              <w:rPr>
                <w:rFonts w:ascii="Times New Roman" w:hAnsi="Times New Roman" w:eastAsia="Times New Roman"/>
              </w:rPr>
              <w:t>Завідувач сектору внутрішнього аудиту Секретаріату Комісії.</w:t>
            </w:r>
          </w:p>
          <w:p>
            <w:pPr>
              <w:widowControl w:val="0"/>
              <w:spacing w:after="0" w:line="240" w:lineRule="auto"/>
              <w:rPr>
                <w:rFonts w:ascii="Times New Roman" w:hAnsi="Times New Roman" w:eastAsia="Times New Roman"/>
              </w:rPr>
            </w:pPr>
          </w:p>
          <w:p>
            <w:pPr>
              <w:widowControl w:val="0"/>
              <w:spacing w:after="0" w:line="240" w:lineRule="auto"/>
              <w:rPr>
                <w:rFonts w:ascii="Times New Roman" w:hAnsi="Times New Roman" w:eastAsia="Times New Roman"/>
              </w:rPr>
            </w:pPr>
          </w:p>
          <w:p>
            <w:pPr>
              <w:widowControl w:val="0"/>
              <w:spacing w:after="0" w:line="240" w:lineRule="auto"/>
              <w:rPr>
                <w:rFonts w:ascii="Times New Roman" w:hAnsi="Times New Roman" w:eastAsia="Times New Roman"/>
              </w:rPr>
            </w:pPr>
          </w:p>
          <w:p>
            <w:pPr>
              <w:widowControl w:val="0"/>
              <w:spacing w:after="0" w:line="240" w:lineRule="auto"/>
              <w:rPr>
                <w:rFonts w:ascii="Times New Roman" w:hAnsi="Times New Roman" w:eastAsia="Times New Roman"/>
              </w:rPr>
            </w:pPr>
          </w:p>
          <w:p>
            <w:pPr>
              <w:widowControl w:val="0"/>
              <w:spacing w:after="0" w:line="240" w:lineRule="auto"/>
              <w:rPr>
                <w:rFonts w:ascii="Times New Roman" w:hAnsi="Times New Roman" w:eastAsia="Times New Roman"/>
              </w:rPr>
            </w:pPr>
          </w:p>
          <w:p>
            <w:pPr>
              <w:widowControl w:val="0"/>
              <w:spacing w:after="0" w:line="240" w:lineRule="auto"/>
              <w:rPr>
                <w:rFonts w:ascii="Times New Roman" w:hAnsi="Times New Roman" w:eastAsia="Times New Roman"/>
              </w:rPr>
            </w:pPr>
          </w:p>
          <w:p>
            <w:pPr>
              <w:widowControl w:val="0"/>
              <w:spacing w:after="0" w:line="240" w:lineRule="auto"/>
              <w:rPr>
                <w:rFonts w:ascii="Times New Roman" w:hAnsi="Times New Roman" w:eastAsia="Times New Roman"/>
              </w:rPr>
            </w:pPr>
          </w:p>
          <w:p>
            <w:pPr>
              <w:spacing w:after="0" w:line="240" w:lineRule="auto"/>
              <w:rPr>
                <w:rFonts w:ascii="Times New Roman" w:hAnsi="Times New Roman"/>
              </w:rPr>
            </w:pPr>
            <w:r>
              <w:rPr>
                <w:rFonts w:ascii="Times New Roman" w:hAnsi="Times New Roman"/>
              </w:rPr>
              <w:t>Сектор з питань запобігання та виявлення корупції</w:t>
            </w:r>
            <w:r>
              <w:rPr>
                <w:rFonts w:ascii="Times New Roman" w:hAnsi="Times New Roman" w:eastAsia="Times New Roman"/>
              </w:rPr>
              <w:t>, управління персоналу Секретаріату Комісії</w:t>
            </w:r>
          </w:p>
          <w:p>
            <w:pPr>
              <w:widowControl w:val="0"/>
              <w:spacing w:after="0" w:line="240" w:lineRule="auto"/>
              <w:rPr>
                <w:rFonts w:ascii="Times New Roman" w:hAnsi="Times New Roman" w:eastAsia="Times New Roman"/>
              </w:rPr>
            </w:pPr>
          </w:p>
        </w:tc>
        <w:tc>
          <w:tcPr>
            <w:tcW w:w="1693" w:type="dxa"/>
            <w:shd w:val="clear" w:color="auto" w:fill="auto"/>
            <w:noWrap w:val="0"/>
            <w:vAlign w:val="top"/>
          </w:tcPr>
          <w:p>
            <w:pPr>
              <w:widowControl w:val="0"/>
              <w:spacing w:after="0" w:line="240" w:lineRule="auto"/>
              <w:rPr>
                <w:rFonts w:ascii="Times New Roman" w:hAnsi="Times New Roman"/>
              </w:rPr>
            </w:pPr>
            <w:r>
              <w:rPr>
                <w:rFonts w:ascii="Times New Roman" w:hAnsi="Times New Roman" w:eastAsia="Times New Roman"/>
              </w:rPr>
              <w:t xml:space="preserve">Під час підготовки </w:t>
            </w:r>
            <w:r>
              <w:rPr>
                <w:rFonts w:ascii="Times New Roman" w:hAnsi="Times New Roman"/>
              </w:rPr>
              <w:t>звіту про результати внутрішнього аудиту та відповідних висновків і рекомендацій.</w:t>
            </w:r>
          </w:p>
          <w:p>
            <w:pPr>
              <w:widowControl w:val="0"/>
              <w:spacing w:after="0" w:line="240" w:lineRule="auto"/>
              <w:rPr>
                <w:rFonts w:ascii="Times New Roman" w:hAnsi="Times New Roman"/>
              </w:rPr>
            </w:pPr>
          </w:p>
          <w:p>
            <w:pPr>
              <w:widowControl w:val="0"/>
              <w:spacing w:after="0" w:line="240" w:lineRule="auto"/>
              <w:rPr>
                <w:rFonts w:ascii="Times New Roman" w:hAnsi="Times New Roman" w:eastAsia="Times New Roman"/>
              </w:rPr>
            </w:pPr>
            <w:r>
              <w:rPr>
                <w:rFonts w:ascii="Times New Roman" w:hAnsi="Times New Roman"/>
              </w:rPr>
              <w:t xml:space="preserve">Травень </w:t>
            </w:r>
            <w:r>
              <w:rPr>
                <w:rFonts w:ascii="Times New Roman" w:hAnsi="Times New Roman"/>
              </w:rPr>
              <w:br w:type="textWrapping"/>
            </w:r>
            <w:r>
              <w:rPr>
                <w:rFonts w:ascii="Times New Roman" w:hAnsi="Times New Roman"/>
              </w:rPr>
              <w:t>2021 року, а надалі – під час прийняття на роботу</w:t>
            </w:r>
          </w:p>
        </w:tc>
        <w:tc>
          <w:tcPr>
            <w:tcW w:w="1450" w:type="dxa"/>
            <w:shd w:val="clear" w:color="auto" w:fill="auto"/>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Не потребує додаткових ресурсів</w:t>
            </w: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tc>
        <w:tc>
          <w:tcPr>
            <w:tcW w:w="2178" w:type="dxa"/>
            <w:shd w:val="clear" w:color="auto" w:fill="auto"/>
            <w:noWrap w:val="0"/>
            <w:vAlign w:val="top"/>
          </w:tcPr>
          <w:p>
            <w:pPr>
              <w:widowControl w:val="0"/>
              <w:spacing w:after="0" w:line="240" w:lineRule="auto"/>
              <w:rPr>
                <w:rFonts w:ascii="Times New Roman" w:hAnsi="Times New Roman" w:eastAsia="Times New Roman"/>
              </w:rPr>
            </w:pPr>
            <w:r>
              <w:rPr>
                <w:rFonts w:ascii="Times New Roman" w:hAnsi="Times New Roman"/>
              </w:rPr>
              <w:t>Звіт про результати внутрішнього аудиту та відповідні висновки і рекомендації відповідають дійсності та не містять викривленої інформації.</w:t>
            </w:r>
          </w:p>
          <w:p>
            <w:pPr>
              <w:widowControl w:val="0"/>
              <w:spacing w:after="0" w:line="240" w:lineRule="auto"/>
              <w:rPr>
                <w:rFonts w:ascii="Times New Roman" w:hAnsi="Times New Roman" w:eastAsia="Times New Roman"/>
              </w:rPr>
            </w:pPr>
            <w:r>
              <w:rPr>
                <w:rFonts w:ascii="Times New Roman" w:hAnsi="Times New Roman" w:eastAsia="Times New Roman"/>
              </w:rPr>
              <w:t>Працівників сектору внутрішнього аудиту Секретаріату Комісії письмово попереджено про відповідальність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15186" w:type="dxa"/>
            <w:gridSpan w:val="8"/>
            <w:noWrap w:val="0"/>
            <w:vAlign w:val="top"/>
          </w:tcPr>
          <w:p>
            <w:pPr>
              <w:spacing w:after="0" w:line="240" w:lineRule="auto"/>
              <w:jc w:val="center"/>
              <w:rPr>
                <w:rFonts w:ascii="Times New Roman" w:hAnsi="Times New Roman" w:eastAsia="Times New Roman"/>
                <w:b/>
              </w:rPr>
            </w:pPr>
            <w:r>
              <w:rPr>
                <w:rFonts w:ascii="Times New Roman" w:hAnsi="Times New Roman"/>
                <w:b/>
                <w:bCs/>
                <w:sz w:val="24"/>
                <w:szCs w:val="24"/>
                <w:lang w:eastAsia="uk-UA"/>
              </w:rPr>
              <w:t>Організація роботи у сфері інформаційно-аналітичних систем та захисту інформації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591" w:type="dxa"/>
            <w:noWrap w:val="0"/>
            <w:vAlign w:val="top"/>
          </w:tcPr>
          <w:p>
            <w:pPr>
              <w:numPr>
                <w:ilvl w:val="0"/>
                <w:numId w:val="3"/>
              </w:numPr>
              <w:spacing w:after="0" w:line="240" w:lineRule="auto"/>
              <w:ind w:left="0" w:firstLine="0"/>
              <w:jc w:val="center"/>
              <w:rPr>
                <w:rFonts w:ascii="Times New Roman" w:hAnsi="Times New Roman" w:eastAsia="Times New Roman"/>
              </w:rPr>
            </w:pPr>
          </w:p>
        </w:tc>
        <w:tc>
          <w:tcPr>
            <w:tcW w:w="2552" w:type="dxa"/>
            <w:noWrap w:val="0"/>
            <w:vAlign w:val="top"/>
          </w:tcPr>
          <w:p>
            <w:pPr>
              <w:widowControl w:val="0"/>
              <w:spacing w:after="0" w:line="240" w:lineRule="auto"/>
              <w:rPr>
                <w:rFonts w:ascii="Times New Roman" w:hAnsi="Times New Roman"/>
                <w:spacing w:val="-4"/>
              </w:rPr>
            </w:pPr>
            <w:r>
              <w:rPr>
                <w:rFonts w:ascii="Times New Roman" w:hAnsi="Times New Roman"/>
              </w:rPr>
              <w:t xml:space="preserve">Можливий вплив </w:t>
            </w:r>
            <w:r>
              <w:rPr>
                <w:rFonts w:ascii="Times New Roman" w:hAnsi="Times New Roman"/>
                <w:spacing w:val="-4"/>
              </w:rPr>
              <w:t>зацікавлених осіб на працівників Секретаріату Комісії, що призведе до неправомірного використання або поширення інформації з обмеженим доступом, яка стала їм відома під час роботи з інформаційно-аналітичними системами, з метою отримання неправомірної вигоди</w:t>
            </w:r>
          </w:p>
        </w:tc>
        <w:tc>
          <w:tcPr>
            <w:tcW w:w="1250" w:type="dxa"/>
            <w:noWrap w:val="0"/>
            <w:vAlign w:val="top"/>
          </w:tcPr>
          <w:p>
            <w:pPr>
              <w:widowControl w:val="0"/>
              <w:spacing w:after="0" w:line="240" w:lineRule="auto"/>
              <w:rPr>
                <w:rFonts w:ascii="Times New Roman" w:hAnsi="Times New Roman"/>
              </w:rPr>
            </w:pPr>
            <w:r>
              <w:rPr>
                <w:rFonts w:ascii="Times New Roman" w:hAnsi="Times New Roman"/>
              </w:rPr>
              <w:t>Низька</w:t>
            </w:r>
          </w:p>
        </w:tc>
        <w:tc>
          <w:tcPr>
            <w:tcW w:w="3050" w:type="dxa"/>
            <w:noWrap w:val="0"/>
            <w:vAlign w:val="top"/>
          </w:tcPr>
          <w:p>
            <w:pPr>
              <w:numPr>
                <w:ilvl w:val="0"/>
                <w:numId w:val="16"/>
              </w:numPr>
              <w:tabs>
                <w:tab w:val="left" w:pos="285"/>
              </w:tabs>
              <w:spacing w:after="0" w:line="240" w:lineRule="auto"/>
              <w:ind w:left="0" w:firstLine="0"/>
              <w:rPr>
                <w:rFonts w:ascii="Times New Roman" w:hAnsi="Times New Roman"/>
              </w:rPr>
            </w:pPr>
            <w:r>
              <w:rPr>
                <w:rFonts w:ascii="Times New Roman" w:hAnsi="Times New Roman"/>
              </w:rPr>
              <w:t>Забезпечення отримання письмових зобов’язань про нерозголошення інформації з обмеженим доступом під час прийому працівників на роботу.</w:t>
            </w:r>
          </w:p>
          <w:p>
            <w:pPr>
              <w:tabs>
                <w:tab w:val="left" w:pos="285"/>
              </w:tabs>
              <w:spacing w:after="0" w:line="240" w:lineRule="auto"/>
              <w:rPr>
                <w:rFonts w:ascii="Times New Roman" w:hAnsi="Times New Roman"/>
              </w:rPr>
            </w:pPr>
          </w:p>
          <w:p>
            <w:pPr>
              <w:numPr>
                <w:ilvl w:val="0"/>
                <w:numId w:val="16"/>
              </w:numPr>
              <w:tabs>
                <w:tab w:val="left" w:pos="285"/>
              </w:tabs>
              <w:spacing w:after="0" w:line="240" w:lineRule="auto"/>
              <w:ind w:left="0" w:firstLine="0"/>
              <w:rPr>
                <w:rFonts w:ascii="Times New Roman" w:hAnsi="Times New Roman"/>
              </w:rPr>
            </w:pPr>
            <w:r>
              <w:rPr>
                <w:rFonts w:ascii="Times New Roman" w:hAnsi="Times New Roman" w:eastAsia="Times New Roman"/>
              </w:rPr>
              <w:t>Письмове попередження</w:t>
            </w:r>
            <w:r>
              <w:rPr>
                <w:rFonts w:ascii="Times New Roman" w:hAnsi="Times New Roman"/>
              </w:rPr>
              <w:t xml:space="preserve"> користувачів інформаційно-аналітичних систем про персональну відповідальність за порушення доступу до інформації з обмеженим доступом</w:t>
            </w:r>
          </w:p>
        </w:tc>
        <w:tc>
          <w:tcPr>
            <w:tcW w:w="2422" w:type="dxa"/>
            <w:noWrap w:val="0"/>
            <w:vAlign w:val="top"/>
          </w:tcPr>
          <w:p>
            <w:pPr>
              <w:widowControl w:val="0"/>
              <w:spacing w:after="0" w:line="240" w:lineRule="auto"/>
              <w:rPr>
                <w:rFonts w:ascii="Times New Roman" w:hAnsi="Times New Roman"/>
              </w:rPr>
            </w:pPr>
            <w:r>
              <w:rPr>
                <w:rFonts w:ascii="Times New Roman" w:hAnsi="Times New Roman"/>
              </w:rPr>
              <w:t xml:space="preserve">Управління персоналу Секретаріату Комісії. </w:t>
            </w:r>
          </w:p>
          <w:p>
            <w:pPr>
              <w:widowControl w:val="0"/>
              <w:spacing w:after="0" w:line="240" w:lineRule="auto"/>
              <w:rPr>
                <w:rFonts w:ascii="Times New Roman" w:hAnsi="Times New Roman"/>
              </w:rPr>
            </w:pPr>
          </w:p>
          <w:p>
            <w:pPr>
              <w:widowControl w:val="0"/>
              <w:spacing w:after="0" w:line="240" w:lineRule="auto"/>
              <w:rPr>
                <w:rFonts w:ascii="Times New Roman" w:hAnsi="Times New Roman"/>
              </w:rPr>
            </w:pPr>
          </w:p>
          <w:p>
            <w:pPr>
              <w:widowControl w:val="0"/>
              <w:spacing w:after="0" w:line="240" w:lineRule="auto"/>
              <w:rPr>
                <w:rFonts w:ascii="Times New Roman" w:hAnsi="Times New Roman"/>
              </w:rPr>
            </w:pPr>
          </w:p>
          <w:p>
            <w:pPr>
              <w:widowControl w:val="0"/>
              <w:spacing w:after="0" w:line="240" w:lineRule="auto"/>
              <w:rPr>
                <w:rFonts w:ascii="Times New Roman" w:hAnsi="Times New Roman"/>
              </w:rPr>
            </w:pPr>
          </w:p>
          <w:p>
            <w:pPr>
              <w:widowControl w:val="0"/>
              <w:spacing w:after="0" w:line="240" w:lineRule="auto"/>
              <w:rPr>
                <w:rFonts w:ascii="Times New Roman" w:hAnsi="Times New Roman"/>
              </w:rPr>
            </w:pPr>
          </w:p>
          <w:p>
            <w:pPr>
              <w:widowControl w:val="0"/>
              <w:spacing w:after="0" w:line="240" w:lineRule="auto"/>
              <w:rPr>
                <w:rFonts w:ascii="Times New Roman" w:hAnsi="Times New Roman" w:eastAsia="Times New Roman"/>
              </w:rPr>
            </w:pPr>
            <w:r>
              <w:rPr>
                <w:rFonts w:ascii="Times New Roman" w:hAnsi="Times New Roman"/>
              </w:rPr>
              <w:t xml:space="preserve">Служба розпорядника Державного реєстру виборців, управління інформатизації </w:t>
            </w:r>
            <w:r>
              <w:rPr>
                <w:rFonts w:ascii="Times New Roman" w:hAnsi="Times New Roman" w:eastAsia="Times New Roman"/>
              </w:rPr>
              <w:t>Секретаріату Комісії</w:t>
            </w:r>
            <w:r>
              <w:rPr>
                <w:rFonts w:ascii="Times New Roman" w:hAnsi="Times New Roman"/>
              </w:rPr>
              <w:t xml:space="preserve"> </w:t>
            </w:r>
          </w:p>
        </w:tc>
        <w:tc>
          <w:tcPr>
            <w:tcW w:w="1693"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До початку виконання працівниками посадових обов’язків.</w:t>
            </w: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r>
              <w:rPr>
                <w:rFonts w:ascii="Times New Roman" w:hAnsi="Times New Roman" w:eastAsia="Times New Roman"/>
                <w:color w:val="000000"/>
              </w:rPr>
              <w:t>Протягом 2021 – 2023 років</w:t>
            </w:r>
          </w:p>
          <w:p>
            <w:pPr>
              <w:widowControl w:val="0"/>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tc>
        <w:tc>
          <w:tcPr>
            <w:tcW w:w="1450"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Не потребує додаткових ресурсів</w:t>
            </w:r>
          </w:p>
          <w:p>
            <w:pPr>
              <w:widowControl w:val="0"/>
              <w:spacing w:after="0" w:line="240" w:lineRule="auto"/>
              <w:rPr>
                <w:rFonts w:ascii="Times New Roman" w:hAnsi="Times New Roman" w:eastAsia="Times New Roman"/>
                <w:color w:val="000000"/>
              </w:rPr>
            </w:pPr>
          </w:p>
        </w:tc>
        <w:tc>
          <w:tcPr>
            <w:tcW w:w="2178" w:type="dxa"/>
            <w:noWrap w:val="0"/>
            <w:vAlign w:val="top"/>
          </w:tcPr>
          <w:p>
            <w:pPr>
              <w:widowControl w:val="0"/>
              <w:spacing w:after="0" w:line="240" w:lineRule="auto"/>
              <w:rPr>
                <w:rFonts w:ascii="Times New Roman" w:hAnsi="Times New Roman" w:eastAsia="Times New Roman"/>
                <w:color w:val="000000"/>
              </w:rPr>
            </w:pPr>
            <w:r>
              <w:rPr>
                <w:rFonts w:ascii="Times New Roman" w:hAnsi="Times New Roman" w:eastAsia="Times New Roman"/>
                <w:color w:val="000000"/>
              </w:rPr>
              <w:t xml:space="preserve">Ознайомлено працівників, відповідну інформацію долучено до особових справ; користувачів інформаційно-аналітичних систем письмово попереджено про персональну відповідальність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15186" w:type="dxa"/>
            <w:gridSpan w:val="8"/>
            <w:noWrap w:val="0"/>
            <w:vAlign w:val="top"/>
          </w:tcPr>
          <w:p>
            <w:pPr>
              <w:spacing w:after="0" w:line="240" w:lineRule="auto"/>
              <w:jc w:val="center"/>
              <w:rPr>
                <w:rFonts w:ascii="Times New Roman" w:hAnsi="Times New Roman" w:eastAsia="Times New Roman"/>
                <w:b/>
              </w:rPr>
            </w:pPr>
            <w:r>
              <w:rPr>
                <w:rFonts w:ascii="Times New Roman" w:hAnsi="Times New Roman"/>
                <w:b/>
                <w:sz w:val="24"/>
                <w:szCs w:val="24"/>
                <w:lang w:eastAsia="uk-UA"/>
              </w:rPr>
              <w:t>Правове забезпечення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591" w:type="dxa"/>
            <w:noWrap w:val="0"/>
            <w:vAlign w:val="top"/>
          </w:tcPr>
          <w:p>
            <w:pPr>
              <w:numPr>
                <w:ilvl w:val="0"/>
                <w:numId w:val="3"/>
              </w:numPr>
              <w:spacing w:after="0" w:line="240" w:lineRule="auto"/>
              <w:ind w:left="0" w:firstLine="0"/>
              <w:jc w:val="center"/>
              <w:rPr>
                <w:rFonts w:ascii="Times New Roman" w:hAnsi="Times New Roman" w:eastAsia="Times New Roman"/>
              </w:rPr>
            </w:pPr>
          </w:p>
        </w:tc>
        <w:tc>
          <w:tcPr>
            <w:tcW w:w="2552" w:type="dxa"/>
            <w:noWrap w:val="0"/>
            <w:vAlign w:val="top"/>
          </w:tcPr>
          <w:p>
            <w:pPr>
              <w:spacing w:after="0" w:line="240" w:lineRule="auto"/>
              <w:rPr>
                <w:rFonts w:ascii="Times New Roman" w:hAnsi="Times New Roman" w:eastAsia="Times New Roman"/>
                <w:lang w:eastAsia="uk-UA"/>
              </w:rPr>
            </w:pPr>
            <w:r>
              <w:rPr>
                <w:rFonts w:ascii="Times New Roman" w:hAnsi="Times New Roman"/>
              </w:rPr>
              <w:t>Можлива</w:t>
            </w:r>
            <w:r>
              <w:rPr>
                <w:rFonts w:ascii="Times New Roman" w:hAnsi="Times New Roman"/>
                <w:color w:val="000000"/>
                <w:spacing w:val="-6"/>
              </w:rPr>
              <w:t xml:space="preserve"> недоброчесність працівника юридичного управління Секретаріату Комісії під час представництва в суді </w:t>
            </w:r>
          </w:p>
        </w:tc>
        <w:tc>
          <w:tcPr>
            <w:tcW w:w="1250" w:type="dxa"/>
            <w:noWrap w:val="0"/>
            <w:vAlign w:val="top"/>
          </w:tcPr>
          <w:p>
            <w:pPr>
              <w:spacing w:after="0" w:line="240" w:lineRule="auto"/>
              <w:rPr>
                <w:rFonts w:ascii="Times New Roman" w:hAnsi="Times New Roman" w:eastAsia="Times New Roman"/>
                <w:lang w:eastAsia="uk-UA"/>
              </w:rPr>
            </w:pPr>
            <w:r>
              <w:rPr>
                <w:rFonts w:ascii="Times New Roman" w:hAnsi="Times New Roman" w:eastAsia="Times New Roman"/>
                <w:lang w:eastAsia="uk-UA"/>
              </w:rPr>
              <w:t>Низька</w:t>
            </w:r>
            <w:r>
              <w:rPr>
                <w:rFonts w:ascii="Times New Roman" w:hAnsi="Times New Roman" w:eastAsia="Times New Roman"/>
                <w:lang w:eastAsia="uk-UA"/>
              </w:rPr>
              <w:br w:type="textWrapping"/>
            </w:r>
          </w:p>
        </w:tc>
        <w:tc>
          <w:tcPr>
            <w:tcW w:w="3050" w:type="dxa"/>
            <w:noWrap w:val="0"/>
            <w:vAlign w:val="top"/>
          </w:tcPr>
          <w:p>
            <w:pPr>
              <w:widowControl w:val="0"/>
              <w:numPr>
                <w:ilvl w:val="0"/>
                <w:numId w:val="17"/>
              </w:numPr>
              <w:tabs>
                <w:tab w:val="left" w:pos="285"/>
              </w:tabs>
              <w:spacing w:after="0" w:line="240" w:lineRule="auto"/>
              <w:ind w:left="0" w:firstLine="0"/>
              <w:rPr>
                <w:rFonts w:ascii="Times New Roman" w:hAnsi="Times New Roman" w:eastAsia="Times New Roman"/>
                <w:shd w:val="clear" w:color="auto" w:fill="FFFFFF"/>
              </w:rPr>
            </w:pPr>
            <w:r>
              <w:rPr>
                <w:rFonts w:ascii="Times New Roman" w:hAnsi="Times New Roman"/>
                <w:color w:val="000000"/>
              </w:rPr>
              <w:t xml:space="preserve">Установлення обмежень у процесуальних правах осіб, які здійснюють представництво інтересів Комісії в </w:t>
            </w:r>
            <w:r>
              <w:rPr>
                <w:rFonts w:ascii="Times New Roman" w:hAnsi="Times New Roman"/>
              </w:rPr>
              <w:t>судах (</w:t>
            </w:r>
            <w:r>
              <w:rPr>
                <w:rFonts w:ascii="Times New Roman" w:hAnsi="Times New Roman" w:eastAsia="Times New Roman"/>
                <w:shd w:val="clear" w:color="auto" w:fill="FFFFFF"/>
              </w:rPr>
              <w:t>без права відмови від позову, відкликання, відмови від апеляційних/касаційних скарг, визнання позову повністю або частково, укладання мирової угоди).</w:t>
            </w:r>
          </w:p>
          <w:p>
            <w:pPr>
              <w:widowControl w:val="0"/>
              <w:tabs>
                <w:tab w:val="left" w:pos="285"/>
              </w:tabs>
              <w:spacing w:after="0" w:line="240" w:lineRule="auto"/>
              <w:rPr>
                <w:rFonts w:ascii="Times New Roman" w:hAnsi="Times New Roman"/>
                <w:sz w:val="14"/>
              </w:rPr>
            </w:pPr>
          </w:p>
          <w:p>
            <w:pPr>
              <w:widowControl w:val="0"/>
              <w:numPr>
                <w:ilvl w:val="0"/>
                <w:numId w:val="17"/>
              </w:numPr>
              <w:tabs>
                <w:tab w:val="left" w:pos="285"/>
              </w:tabs>
              <w:spacing w:after="0" w:line="240" w:lineRule="auto"/>
              <w:ind w:left="0" w:firstLine="0"/>
              <w:rPr>
                <w:rFonts w:ascii="Times New Roman" w:hAnsi="Times New Roman"/>
              </w:rPr>
            </w:pPr>
            <w:r>
              <w:rPr>
                <w:rFonts w:ascii="Times New Roman" w:hAnsi="Times New Roman"/>
              </w:rPr>
              <w:t xml:space="preserve">Вибірковий моніторинг судових рішень на предмет виявлення особистої заінтересованості в результатах розгляду справ та контроль за проєктами підготовлених процесуальних документів керівником структурного підрозділу, який забезпечує представництво інтересів Комісії в судах, а в окремих випадках – членами Комісії. За потреби прослуховування звукозапису судового засідання. </w:t>
            </w:r>
          </w:p>
          <w:p>
            <w:pPr>
              <w:widowControl w:val="0"/>
              <w:tabs>
                <w:tab w:val="left" w:pos="285"/>
              </w:tabs>
              <w:spacing w:after="0" w:line="240" w:lineRule="auto"/>
              <w:rPr>
                <w:rFonts w:ascii="Times New Roman" w:hAnsi="Times New Roman"/>
                <w:sz w:val="8"/>
              </w:rPr>
            </w:pPr>
          </w:p>
          <w:p>
            <w:pPr>
              <w:widowControl w:val="0"/>
              <w:numPr>
                <w:ilvl w:val="0"/>
                <w:numId w:val="17"/>
              </w:numPr>
              <w:tabs>
                <w:tab w:val="left" w:pos="285"/>
              </w:tabs>
              <w:spacing w:after="0" w:line="228" w:lineRule="auto"/>
              <w:ind w:left="0" w:firstLine="0"/>
              <w:rPr>
                <w:rFonts w:ascii="Times New Roman" w:hAnsi="Times New Roman" w:eastAsia="Times New Roman"/>
                <w:shd w:val="clear" w:color="auto" w:fill="FFFFFF"/>
              </w:rPr>
            </w:pPr>
            <w:r>
              <w:rPr>
                <w:rFonts w:ascii="Times New Roman" w:hAnsi="Times New Roman" w:eastAsia="Times New Roman"/>
                <w:shd w:val="clear" w:color="auto" w:fill="FFFFFF"/>
              </w:rPr>
              <w:t>Участь за рішенням керівника юридичного управління</w:t>
            </w:r>
            <w:r>
              <w:rPr>
                <w:rFonts w:ascii="Times New Roman" w:hAnsi="Times New Roman" w:eastAsia="Times New Roman"/>
              </w:rPr>
              <w:t xml:space="preserve"> Секретаріату Комісії</w:t>
            </w:r>
            <w:r>
              <w:rPr>
                <w:rFonts w:ascii="Times New Roman" w:hAnsi="Times New Roman" w:eastAsia="Times New Roman"/>
                <w:shd w:val="clear" w:color="auto" w:fill="FFFFFF"/>
              </w:rPr>
              <w:t xml:space="preserve"> в судових засіданнях у пріоритетних справах не менш як двох працівників юридичного управління</w:t>
            </w:r>
          </w:p>
        </w:tc>
        <w:tc>
          <w:tcPr>
            <w:tcW w:w="2422" w:type="dxa"/>
            <w:noWrap w:val="0"/>
            <w:vAlign w:val="top"/>
          </w:tcPr>
          <w:p>
            <w:pPr>
              <w:spacing w:after="0" w:line="240" w:lineRule="auto"/>
              <w:rPr>
                <w:rFonts w:ascii="Times New Roman" w:hAnsi="Times New Roman" w:eastAsia="Times New Roman"/>
                <w:color w:val="333333"/>
                <w:lang w:eastAsia="uk-UA"/>
              </w:rPr>
            </w:pPr>
            <w:r>
              <w:rPr>
                <w:rFonts w:ascii="Times New Roman" w:hAnsi="Times New Roman" w:eastAsia="Times New Roman"/>
              </w:rPr>
              <w:t>Керівник юридичного управління</w:t>
            </w:r>
            <w:r>
              <w:rPr>
                <w:rFonts w:ascii="Times New Roman" w:hAnsi="Times New Roman" w:eastAsia="Times New Roman"/>
                <w:color w:val="333333"/>
                <w:lang w:eastAsia="uk-UA"/>
              </w:rPr>
              <w:t xml:space="preserve"> </w:t>
            </w:r>
            <w:r>
              <w:rPr>
                <w:rFonts w:ascii="Times New Roman" w:hAnsi="Times New Roman" w:eastAsia="Times New Roman"/>
              </w:rPr>
              <w:t>Секретаріату Комісії.</w:t>
            </w:r>
          </w:p>
          <w:p>
            <w:pPr>
              <w:spacing w:after="0" w:line="240" w:lineRule="auto"/>
              <w:rPr>
                <w:rFonts w:ascii="Times New Roman" w:hAnsi="Times New Roman" w:eastAsia="Times New Roman"/>
                <w:color w:val="333333"/>
                <w:lang w:eastAsia="uk-UA"/>
              </w:rPr>
            </w:pPr>
          </w:p>
          <w:p>
            <w:pPr>
              <w:spacing w:after="0" w:line="240" w:lineRule="auto"/>
              <w:rPr>
                <w:rFonts w:ascii="Times New Roman" w:hAnsi="Times New Roman" w:eastAsia="Times New Roman"/>
                <w:color w:val="333333"/>
                <w:lang w:eastAsia="uk-UA"/>
              </w:rPr>
            </w:pPr>
          </w:p>
          <w:p>
            <w:pPr>
              <w:spacing w:after="0" w:line="240" w:lineRule="auto"/>
              <w:rPr>
                <w:rFonts w:ascii="Times New Roman" w:hAnsi="Times New Roman" w:eastAsia="Times New Roman"/>
                <w:color w:val="333333"/>
                <w:lang w:eastAsia="uk-UA"/>
              </w:rPr>
            </w:pPr>
          </w:p>
          <w:p>
            <w:pPr>
              <w:spacing w:after="0" w:line="240" w:lineRule="auto"/>
              <w:rPr>
                <w:rFonts w:ascii="Times New Roman" w:hAnsi="Times New Roman" w:eastAsia="Times New Roman"/>
                <w:color w:val="333333"/>
                <w:lang w:eastAsia="uk-UA"/>
              </w:rPr>
            </w:pPr>
          </w:p>
          <w:p>
            <w:pPr>
              <w:spacing w:after="0" w:line="240" w:lineRule="auto"/>
              <w:rPr>
                <w:rFonts w:ascii="Times New Roman" w:hAnsi="Times New Roman" w:eastAsia="Times New Roman"/>
                <w:color w:val="333333"/>
                <w:lang w:eastAsia="uk-UA"/>
              </w:rPr>
            </w:pPr>
          </w:p>
          <w:p>
            <w:pPr>
              <w:spacing w:after="0" w:line="240" w:lineRule="auto"/>
              <w:rPr>
                <w:rFonts w:ascii="Times New Roman" w:hAnsi="Times New Roman" w:eastAsia="Times New Roman"/>
                <w:color w:val="333333"/>
                <w:lang w:eastAsia="uk-UA"/>
              </w:rPr>
            </w:pPr>
          </w:p>
          <w:p>
            <w:pPr>
              <w:spacing w:after="0" w:line="240" w:lineRule="auto"/>
              <w:rPr>
                <w:rFonts w:ascii="Times New Roman" w:hAnsi="Times New Roman" w:eastAsia="Times New Roman"/>
                <w:color w:val="333333"/>
                <w:lang w:eastAsia="uk-UA"/>
              </w:rPr>
            </w:pPr>
          </w:p>
          <w:p>
            <w:pPr>
              <w:spacing w:after="0" w:line="240" w:lineRule="auto"/>
              <w:rPr>
                <w:rFonts w:ascii="Times New Roman" w:hAnsi="Times New Roman" w:eastAsia="Times New Roman"/>
                <w:color w:val="333333"/>
                <w:lang w:eastAsia="uk-UA"/>
              </w:rPr>
            </w:pPr>
          </w:p>
          <w:p>
            <w:pPr>
              <w:spacing w:after="0" w:line="240" w:lineRule="auto"/>
              <w:rPr>
                <w:rFonts w:ascii="Times New Roman" w:hAnsi="Times New Roman" w:eastAsia="Times New Roman"/>
                <w:color w:val="333333"/>
                <w:sz w:val="14"/>
                <w:lang w:eastAsia="uk-UA"/>
              </w:rPr>
            </w:pPr>
          </w:p>
          <w:p>
            <w:pPr>
              <w:spacing w:after="0" w:line="240" w:lineRule="auto"/>
              <w:rPr>
                <w:rFonts w:ascii="Times New Roman" w:hAnsi="Times New Roman" w:eastAsia="Times New Roman"/>
                <w:color w:val="333333"/>
                <w:lang w:eastAsia="uk-UA"/>
              </w:rPr>
            </w:pPr>
            <w:r>
              <w:rPr>
                <w:rFonts w:ascii="Times New Roman" w:hAnsi="Times New Roman" w:eastAsia="Times New Roman"/>
              </w:rPr>
              <w:t>Керівник юридичного управління Секретаріату Комісії,</w:t>
            </w:r>
            <w:r>
              <w:rPr>
                <w:rFonts w:ascii="Times New Roman" w:hAnsi="Times New Roman" w:eastAsia="Times New Roman"/>
                <w:color w:val="333333"/>
                <w:lang w:eastAsia="uk-UA"/>
              </w:rPr>
              <w:t xml:space="preserve"> </w:t>
            </w:r>
            <w:r>
              <w:rPr>
                <w:rFonts w:ascii="Times New Roman" w:hAnsi="Times New Roman" w:eastAsia="Times New Roman"/>
                <w:lang w:eastAsia="uk-UA"/>
              </w:rPr>
              <w:t>члени Комісії (за потреби).</w:t>
            </w:r>
          </w:p>
          <w:p>
            <w:pPr>
              <w:spacing w:after="0" w:line="240" w:lineRule="auto"/>
              <w:rPr>
                <w:rFonts w:ascii="Times New Roman" w:hAnsi="Times New Roman" w:eastAsia="Times New Roman"/>
                <w:color w:val="333333"/>
                <w:lang w:eastAsia="uk-UA"/>
              </w:rPr>
            </w:pPr>
          </w:p>
          <w:p>
            <w:pPr>
              <w:spacing w:after="0" w:line="240" w:lineRule="auto"/>
              <w:rPr>
                <w:rFonts w:ascii="Times New Roman" w:hAnsi="Times New Roman" w:eastAsia="Times New Roman"/>
                <w:color w:val="333333"/>
                <w:lang w:eastAsia="uk-UA"/>
              </w:rPr>
            </w:pPr>
          </w:p>
          <w:p>
            <w:pPr>
              <w:spacing w:after="0" w:line="240" w:lineRule="auto"/>
              <w:rPr>
                <w:rFonts w:ascii="Times New Roman" w:hAnsi="Times New Roman" w:eastAsia="Times New Roman"/>
                <w:color w:val="333333"/>
                <w:lang w:eastAsia="uk-UA"/>
              </w:rPr>
            </w:pPr>
          </w:p>
          <w:p>
            <w:pPr>
              <w:spacing w:after="0" w:line="240" w:lineRule="auto"/>
              <w:rPr>
                <w:rFonts w:ascii="Times New Roman" w:hAnsi="Times New Roman" w:eastAsia="Times New Roman"/>
                <w:color w:val="333333"/>
                <w:lang w:eastAsia="uk-UA"/>
              </w:rPr>
            </w:pPr>
          </w:p>
          <w:p>
            <w:pPr>
              <w:spacing w:after="0" w:line="240" w:lineRule="auto"/>
              <w:rPr>
                <w:rFonts w:ascii="Times New Roman" w:hAnsi="Times New Roman" w:eastAsia="Times New Roman"/>
                <w:color w:val="333333"/>
                <w:lang w:eastAsia="uk-UA"/>
              </w:rPr>
            </w:pPr>
          </w:p>
          <w:p>
            <w:pPr>
              <w:spacing w:after="0" w:line="240" w:lineRule="auto"/>
              <w:rPr>
                <w:rFonts w:ascii="Times New Roman" w:hAnsi="Times New Roman" w:eastAsia="Times New Roman"/>
                <w:color w:val="333333"/>
                <w:lang w:eastAsia="uk-UA"/>
              </w:rPr>
            </w:pPr>
          </w:p>
          <w:p>
            <w:pPr>
              <w:spacing w:after="0" w:line="240" w:lineRule="auto"/>
              <w:rPr>
                <w:rFonts w:ascii="Times New Roman" w:hAnsi="Times New Roman" w:eastAsia="Times New Roman"/>
                <w:color w:val="333333"/>
                <w:lang w:eastAsia="uk-UA"/>
              </w:rPr>
            </w:pPr>
          </w:p>
          <w:p>
            <w:pPr>
              <w:spacing w:after="0" w:line="240" w:lineRule="auto"/>
              <w:rPr>
                <w:rFonts w:ascii="Times New Roman" w:hAnsi="Times New Roman" w:eastAsia="Times New Roman"/>
                <w:color w:val="333333"/>
                <w:lang w:eastAsia="uk-UA"/>
              </w:rPr>
            </w:pPr>
          </w:p>
          <w:p>
            <w:pPr>
              <w:spacing w:after="0" w:line="240" w:lineRule="auto"/>
              <w:rPr>
                <w:rFonts w:ascii="Times New Roman" w:hAnsi="Times New Roman" w:eastAsia="Times New Roman"/>
                <w:color w:val="333333"/>
                <w:lang w:eastAsia="uk-UA"/>
              </w:rPr>
            </w:pPr>
          </w:p>
          <w:p>
            <w:pPr>
              <w:spacing w:after="0" w:line="240" w:lineRule="auto"/>
              <w:rPr>
                <w:rFonts w:ascii="Times New Roman" w:hAnsi="Times New Roman" w:eastAsia="Times New Roman"/>
                <w:color w:val="333333"/>
                <w:lang w:eastAsia="uk-UA"/>
              </w:rPr>
            </w:pPr>
          </w:p>
          <w:p>
            <w:pPr>
              <w:spacing w:after="0" w:line="240" w:lineRule="auto"/>
              <w:rPr>
                <w:rFonts w:ascii="Times New Roman" w:hAnsi="Times New Roman" w:eastAsia="Times New Roman"/>
                <w:color w:val="333333"/>
                <w:lang w:eastAsia="uk-UA"/>
              </w:rPr>
            </w:pPr>
          </w:p>
          <w:p>
            <w:pPr>
              <w:spacing w:after="0" w:line="240" w:lineRule="auto"/>
              <w:rPr>
                <w:rFonts w:ascii="Times New Roman" w:hAnsi="Times New Roman" w:eastAsia="Times New Roman"/>
                <w:color w:val="333333"/>
                <w:sz w:val="8"/>
                <w:lang w:eastAsia="uk-UA"/>
              </w:rPr>
            </w:pPr>
          </w:p>
          <w:p>
            <w:pPr>
              <w:spacing w:after="0" w:line="240" w:lineRule="auto"/>
              <w:rPr>
                <w:rFonts w:ascii="Times New Roman" w:hAnsi="Times New Roman" w:eastAsia="Times New Roman"/>
                <w:color w:val="333333"/>
                <w:lang w:eastAsia="uk-UA"/>
              </w:rPr>
            </w:pPr>
            <w:r>
              <w:rPr>
                <w:rFonts w:ascii="Times New Roman" w:hAnsi="Times New Roman" w:eastAsia="Times New Roman"/>
              </w:rPr>
              <w:t>Керівник юридичного управління</w:t>
            </w:r>
            <w:r>
              <w:rPr>
                <w:rFonts w:ascii="Times New Roman" w:hAnsi="Times New Roman" w:eastAsia="Times New Roman"/>
                <w:color w:val="333333"/>
                <w:lang w:eastAsia="uk-UA"/>
              </w:rPr>
              <w:t xml:space="preserve"> </w:t>
            </w:r>
            <w:r>
              <w:rPr>
                <w:rFonts w:ascii="Times New Roman" w:hAnsi="Times New Roman" w:eastAsia="Times New Roman"/>
              </w:rPr>
              <w:t>Секретаріату Комісії</w:t>
            </w:r>
          </w:p>
          <w:p>
            <w:pPr>
              <w:spacing w:after="0" w:line="240" w:lineRule="auto"/>
              <w:rPr>
                <w:rFonts w:ascii="Times New Roman" w:hAnsi="Times New Roman" w:eastAsia="Times New Roman"/>
                <w:color w:val="333333"/>
                <w:lang w:eastAsia="uk-UA"/>
              </w:rPr>
            </w:pPr>
          </w:p>
        </w:tc>
        <w:tc>
          <w:tcPr>
            <w:tcW w:w="1693"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Протягом 2021 – 2023 років.</w:t>
            </w: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sz w:val="14"/>
              </w:rPr>
            </w:pPr>
          </w:p>
          <w:p>
            <w:pPr>
              <w:spacing w:after="0" w:line="240" w:lineRule="auto"/>
              <w:rPr>
                <w:rFonts w:ascii="Times New Roman" w:hAnsi="Times New Roman" w:eastAsia="Times New Roman"/>
                <w:color w:val="000000"/>
              </w:rPr>
            </w:pPr>
            <w:r>
              <w:rPr>
                <w:rFonts w:ascii="Times New Roman" w:hAnsi="Times New Roman" w:eastAsia="Times New Roman"/>
                <w:color w:val="000000"/>
              </w:rPr>
              <w:t>Протягом 2021 – 2023 років.</w:t>
            </w: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sz w:val="8"/>
              </w:rPr>
            </w:pPr>
          </w:p>
          <w:p>
            <w:pPr>
              <w:spacing w:after="0" w:line="240" w:lineRule="auto"/>
              <w:rPr>
                <w:rFonts w:ascii="Times New Roman" w:hAnsi="Times New Roman" w:eastAsia="Times New Roman"/>
                <w:color w:val="000000"/>
              </w:rPr>
            </w:pPr>
            <w:r>
              <w:rPr>
                <w:rFonts w:ascii="Times New Roman" w:hAnsi="Times New Roman" w:eastAsia="Times New Roman"/>
              </w:rPr>
              <w:t>Під час участі в судових засіданнях</w:t>
            </w:r>
          </w:p>
        </w:tc>
        <w:tc>
          <w:tcPr>
            <w:tcW w:w="1450"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Не потребує додаткових ресурсів</w:t>
            </w:r>
          </w:p>
        </w:tc>
        <w:tc>
          <w:tcPr>
            <w:tcW w:w="2178" w:type="dxa"/>
            <w:noWrap w:val="0"/>
            <w:vAlign w:val="top"/>
          </w:tcPr>
          <w:p>
            <w:pPr>
              <w:spacing w:after="0" w:line="235" w:lineRule="auto"/>
              <w:rPr>
                <w:rFonts w:ascii="Times New Roman" w:hAnsi="Times New Roman" w:eastAsia="Times New Roman"/>
                <w:color w:val="000000"/>
                <w:spacing w:val="-4"/>
              </w:rPr>
            </w:pPr>
            <w:r>
              <w:rPr>
                <w:rFonts w:ascii="Times New Roman" w:hAnsi="Times New Roman" w:eastAsia="Times New Roman"/>
                <w:color w:val="000000"/>
                <w:spacing w:val="-4"/>
              </w:rPr>
              <w:t>Запобігання ухваленню судових рішень не на користь Комісії внаслідок недоброчесних дій осіб, які здійснюють представництво інтересів Комісії в судах. Створення процесуальних підстав для прийняття судом рішення про відмову в задоволенні клопотань осіб, які здійснюють представництво інтересів Комісії в судах, у разі їх недоброчесних дій (відмова від позову, визнання позову повністю або частково, укладення мирової угоди, відкликання, відмова від апеляційних/</w:t>
            </w:r>
            <w:r>
              <w:rPr>
                <w:rFonts w:ascii="Times New Roman" w:hAnsi="Times New Roman" w:eastAsia="Times New Roman"/>
                <w:color w:val="000000"/>
                <w:spacing w:val="-4"/>
              </w:rPr>
              <w:br w:type="textWrapping"/>
            </w:r>
            <w:r>
              <w:rPr>
                <w:rFonts w:ascii="Times New Roman" w:hAnsi="Times New Roman" w:eastAsia="Times New Roman"/>
                <w:color w:val="000000"/>
                <w:spacing w:val="-4"/>
              </w:rPr>
              <w:t>касаційних скарг). Забезпечення внутрішнього контролю за належним представництвом інтересів Комісії під час розгляду судових справ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15186" w:type="dxa"/>
            <w:gridSpan w:val="8"/>
            <w:noWrap w:val="0"/>
            <w:vAlign w:val="top"/>
          </w:tcPr>
          <w:p>
            <w:pPr>
              <w:spacing w:after="0" w:line="240" w:lineRule="auto"/>
              <w:jc w:val="center"/>
              <w:rPr>
                <w:rFonts w:ascii="Times New Roman" w:hAnsi="Times New Roman" w:eastAsia="Times New Roman"/>
                <w:b/>
              </w:rPr>
            </w:pPr>
            <w:r>
              <w:rPr>
                <w:rFonts w:ascii="Times New Roman" w:hAnsi="Times New Roman"/>
                <w:b/>
                <w:bCs/>
                <w:sz w:val="24"/>
                <w:szCs w:val="24"/>
                <w:lang w:eastAsia="uk-UA"/>
              </w:rPr>
              <w:t>Управління персоналом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591" w:type="dxa"/>
            <w:noWrap w:val="0"/>
            <w:vAlign w:val="top"/>
          </w:tcPr>
          <w:p>
            <w:pPr>
              <w:numPr>
                <w:ilvl w:val="0"/>
                <w:numId w:val="3"/>
              </w:numPr>
              <w:spacing w:after="0" w:line="240" w:lineRule="auto"/>
              <w:ind w:left="0" w:firstLine="0"/>
              <w:jc w:val="center"/>
              <w:rPr>
                <w:rFonts w:ascii="Times New Roman" w:hAnsi="Times New Roman" w:eastAsia="Times New Roman"/>
              </w:rPr>
            </w:pPr>
          </w:p>
        </w:tc>
        <w:tc>
          <w:tcPr>
            <w:tcW w:w="2552" w:type="dxa"/>
            <w:noWrap w:val="0"/>
            <w:vAlign w:val="top"/>
          </w:tcPr>
          <w:p>
            <w:pPr>
              <w:autoSpaceDE w:val="0"/>
              <w:autoSpaceDN w:val="0"/>
              <w:adjustRightInd w:val="0"/>
              <w:spacing w:after="0" w:line="240" w:lineRule="auto"/>
              <w:rPr>
                <w:rFonts w:ascii="Times New Roman" w:hAnsi="Times New Roman"/>
                <w:color w:val="000000"/>
              </w:rPr>
            </w:pPr>
            <w:r>
              <w:rPr>
                <w:rFonts w:ascii="Times New Roman" w:hAnsi="Times New Roman"/>
                <w:color w:val="000000"/>
              </w:rPr>
              <w:t>Можлива недоброчесність членів конкурсної комісії під час проведення конкурсу</w:t>
            </w:r>
          </w:p>
          <w:p>
            <w:pPr>
              <w:autoSpaceDE w:val="0"/>
              <w:autoSpaceDN w:val="0"/>
              <w:adjustRightInd w:val="0"/>
              <w:spacing w:after="0" w:line="240" w:lineRule="auto"/>
              <w:rPr>
                <w:rFonts w:ascii="Times New Roman" w:hAnsi="Times New Roman"/>
                <w:color w:val="000000"/>
              </w:rPr>
            </w:pPr>
          </w:p>
        </w:tc>
        <w:tc>
          <w:tcPr>
            <w:tcW w:w="1250" w:type="dxa"/>
            <w:noWrap w:val="0"/>
            <w:vAlign w:val="top"/>
          </w:tcPr>
          <w:p>
            <w:pPr>
              <w:spacing w:after="0" w:line="240" w:lineRule="auto"/>
              <w:rPr>
                <w:rFonts w:ascii="Times New Roman" w:hAnsi="Times New Roman" w:eastAsia="Times New Roman"/>
                <w:color w:val="000000"/>
                <w:lang w:eastAsia="uk-UA"/>
              </w:rPr>
            </w:pPr>
            <w:r>
              <w:rPr>
                <w:rFonts w:ascii="Times New Roman" w:hAnsi="Times New Roman" w:eastAsia="Times New Roman"/>
                <w:color w:val="000000"/>
                <w:lang w:eastAsia="uk-UA"/>
              </w:rPr>
              <w:t>Низька</w:t>
            </w:r>
            <w:r>
              <w:rPr>
                <w:rFonts w:ascii="Times New Roman" w:hAnsi="Times New Roman" w:eastAsia="Times New Roman"/>
                <w:color w:val="000000"/>
                <w:lang w:eastAsia="uk-UA"/>
              </w:rPr>
              <w:br w:type="textWrapping"/>
            </w:r>
          </w:p>
        </w:tc>
        <w:tc>
          <w:tcPr>
            <w:tcW w:w="3050" w:type="dxa"/>
            <w:noWrap w:val="0"/>
            <w:vAlign w:val="top"/>
          </w:tcPr>
          <w:p>
            <w:pPr>
              <w:numPr>
                <w:ilvl w:val="0"/>
                <w:numId w:val="18"/>
              </w:numPr>
              <w:tabs>
                <w:tab w:val="left" w:pos="285"/>
              </w:tabs>
              <w:autoSpaceDE w:val="0"/>
              <w:autoSpaceDN w:val="0"/>
              <w:adjustRightInd w:val="0"/>
              <w:spacing w:after="0" w:line="240" w:lineRule="auto"/>
              <w:ind w:left="0" w:firstLine="0"/>
              <w:rPr>
                <w:rFonts w:ascii="Times New Roman" w:hAnsi="Times New Roman" w:eastAsia="Times New Roman"/>
                <w:lang w:eastAsia="ru-RU"/>
              </w:rPr>
            </w:pPr>
            <w:r>
              <w:rPr>
                <w:rFonts w:ascii="Times New Roman" w:hAnsi="Times New Roman" w:eastAsia="Times New Roman"/>
                <w:lang w:eastAsia="ru-RU"/>
              </w:rPr>
              <w:t>Включення представника сектору з питань запобігання та виявлення корупції Секретаріату Комісії до складу конкурсної комісії.</w:t>
            </w:r>
          </w:p>
          <w:p>
            <w:pPr>
              <w:tabs>
                <w:tab w:val="left" w:pos="285"/>
              </w:tabs>
              <w:autoSpaceDE w:val="0"/>
              <w:autoSpaceDN w:val="0"/>
              <w:adjustRightInd w:val="0"/>
              <w:spacing w:after="0" w:line="240" w:lineRule="auto"/>
              <w:rPr>
                <w:rFonts w:ascii="Times New Roman" w:hAnsi="Times New Roman" w:eastAsia="Times New Roman"/>
                <w:lang w:eastAsia="ru-RU"/>
              </w:rPr>
            </w:pPr>
          </w:p>
          <w:p>
            <w:pPr>
              <w:tabs>
                <w:tab w:val="left" w:pos="285"/>
              </w:tabs>
              <w:autoSpaceDE w:val="0"/>
              <w:autoSpaceDN w:val="0"/>
              <w:adjustRightInd w:val="0"/>
              <w:spacing w:after="0" w:line="240" w:lineRule="auto"/>
              <w:rPr>
                <w:rFonts w:ascii="Times New Roman" w:hAnsi="Times New Roman" w:eastAsia="Times New Roman"/>
                <w:lang w:eastAsia="ru-RU"/>
              </w:rPr>
            </w:pPr>
          </w:p>
          <w:p>
            <w:pPr>
              <w:numPr>
                <w:ilvl w:val="0"/>
                <w:numId w:val="18"/>
              </w:numPr>
              <w:tabs>
                <w:tab w:val="left" w:pos="285"/>
              </w:tabs>
              <w:autoSpaceDE w:val="0"/>
              <w:autoSpaceDN w:val="0"/>
              <w:adjustRightInd w:val="0"/>
              <w:spacing w:after="0" w:line="240" w:lineRule="auto"/>
              <w:ind w:left="0" w:firstLine="0"/>
              <w:rPr>
                <w:rFonts w:ascii="Times New Roman" w:hAnsi="Times New Roman" w:eastAsia="Times New Roman"/>
                <w:lang w:eastAsia="ru-RU"/>
              </w:rPr>
            </w:pPr>
            <w:r>
              <w:rPr>
                <w:rFonts w:ascii="Times New Roman" w:hAnsi="Times New Roman" w:eastAsia="Times New Roman"/>
              </w:rPr>
              <w:t>Розробка пам’ятки про персональну відповідальність за порушення законодавства та обов’язок повідомлення керівника в разі спроб протиправного впливу третіх осіб та ознайомлення з її змістом усіх працівників управління персоналу Секретаріату Комісії та членів конкурсної комісії</w:t>
            </w:r>
          </w:p>
        </w:tc>
        <w:tc>
          <w:tcPr>
            <w:tcW w:w="2422" w:type="dxa"/>
            <w:noWrap w:val="0"/>
            <w:vAlign w:val="top"/>
          </w:tcPr>
          <w:p>
            <w:pPr>
              <w:spacing w:after="0" w:line="240" w:lineRule="auto"/>
              <w:rPr>
                <w:rFonts w:ascii="Times New Roman" w:hAnsi="Times New Roman" w:eastAsia="Times New Roman"/>
              </w:rPr>
            </w:pPr>
            <w:r>
              <w:rPr>
                <w:rFonts w:ascii="Times New Roman" w:hAnsi="Times New Roman" w:eastAsia="Times New Roman"/>
                <w:color w:val="000000"/>
                <w:lang w:eastAsia="uk-UA"/>
              </w:rPr>
              <w:t>Управління персоналу</w:t>
            </w:r>
            <w:r>
              <w:rPr>
                <w:rFonts w:ascii="Times New Roman" w:hAnsi="Times New Roman" w:eastAsia="Times New Roman"/>
              </w:rPr>
              <w:t>, сектор з питань запобігання та виявлення корупції Секретаріату Комісії.</w:t>
            </w:r>
          </w:p>
          <w:p>
            <w:pPr>
              <w:spacing w:after="0" w:line="240" w:lineRule="auto"/>
              <w:rPr>
                <w:rFonts w:ascii="Times New Roman" w:hAnsi="Times New Roman" w:eastAsia="Times New Roman"/>
                <w:color w:val="000000"/>
                <w:lang w:eastAsia="uk-UA"/>
              </w:rPr>
            </w:pPr>
          </w:p>
          <w:p>
            <w:pPr>
              <w:spacing w:after="0" w:line="240" w:lineRule="auto"/>
              <w:rPr>
                <w:rFonts w:ascii="Times New Roman" w:hAnsi="Times New Roman" w:eastAsia="Times New Roman"/>
                <w:color w:val="000000"/>
                <w:lang w:eastAsia="uk-UA"/>
              </w:rPr>
            </w:pPr>
          </w:p>
          <w:p>
            <w:pPr>
              <w:spacing w:after="0" w:line="240" w:lineRule="auto"/>
              <w:rPr>
                <w:rFonts w:ascii="Times New Roman" w:hAnsi="Times New Roman" w:eastAsia="Times New Roman"/>
                <w:color w:val="000000"/>
                <w:lang w:eastAsia="uk-UA"/>
              </w:rPr>
            </w:pPr>
            <w:r>
              <w:rPr>
                <w:rFonts w:ascii="Times New Roman" w:hAnsi="Times New Roman" w:eastAsia="Times New Roman"/>
              </w:rPr>
              <w:t>Сектор з питань запобігання та виявлення корупції Секретаріату Комісії</w:t>
            </w:r>
          </w:p>
        </w:tc>
        <w:tc>
          <w:tcPr>
            <w:tcW w:w="1693" w:type="dxa"/>
            <w:noWrap w:val="0"/>
            <w:vAlign w:val="top"/>
          </w:tcPr>
          <w:p>
            <w:pPr>
              <w:tabs>
                <w:tab w:val="left" w:pos="426"/>
              </w:tabs>
              <w:spacing w:after="0" w:line="240" w:lineRule="auto"/>
              <w:rPr>
                <w:rFonts w:ascii="Times New Roman" w:hAnsi="Times New Roman" w:eastAsia="Times New Roman"/>
              </w:rPr>
            </w:pPr>
            <w:r>
              <w:rPr>
                <w:rFonts w:ascii="Times New Roman" w:hAnsi="Times New Roman" w:eastAsia="Times New Roman"/>
              </w:rPr>
              <w:t>Під час формування складу конкурсної комісії.</w:t>
            </w:r>
          </w:p>
          <w:p>
            <w:pPr>
              <w:tabs>
                <w:tab w:val="left" w:pos="426"/>
              </w:tabs>
              <w:spacing w:after="0" w:line="240" w:lineRule="auto"/>
              <w:rPr>
                <w:rFonts w:ascii="Times New Roman" w:hAnsi="Times New Roman" w:eastAsia="Times New Roman"/>
              </w:rPr>
            </w:pPr>
          </w:p>
          <w:p>
            <w:pPr>
              <w:tabs>
                <w:tab w:val="left" w:pos="426"/>
              </w:tabs>
              <w:spacing w:after="0" w:line="240" w:lineRule="auto"/>
              <w:rPr>
                <w:rFonts w:ascii="Times New Roman" w:hAnsi="Times New Roman" w:eastAsia="Times New Roman"/>
              </w:rPr>
            </w:pPr>
          </w:p>
          <w:p>
            <w:pPr>
              <w:tabs>
                <w:tab w:val="left" w:pos="426"/>
              </w:tabs>
              <w:spacing w:after="0" w:line="240" w:lineRule="auto"/>
              <w:rPr>
                <w:rFonts w:ascii="Times New Roman" w:hAnsi="Times New Roman" w:eastAsia="Times New Roman"/>
              </w:rPr>
            </w:pPr>
            <w:r>
              <w:rPr>
                <w:rFonts w:ascii="Times New Roman" w:hAnsi="Times New Roman" w:eastAsia="Times New Roman"/>
              </w:rPr>
              <w:t>Листопад</w:t>
            </w:r>
          </w:p>
          <w:p>
            <w:pPr>
              <w:tabs>
                <w:tab w:val="left" w:pos="426"/>
              </w:tabs>
              <w:spacing w:after="0" w:line="240" w:lineRule="auto"/>
              <w:rPr>
                <w:rFonts w:ascii="Times New Roman" w:hAnsi="Times New Roman" w:eastAsia="Times New Roman"/>
              </w:rPr>
            </w:pPr>
            <w:r>
              <w:rPr>
                <w:rFonts w:ascii="Times New Roman" w:hAnsi="Times New Roman" w:eastAsia="Times New Roman"/>
              </w:rPr>
              <w:t>2021 року</w:t>
            </w:r>
          </w:p>
          <w:p>
            <w:pPr>
              <w:tabs>
                <w:tab w:val="left" w:pos="426"/>
              </w:tabs>
              <w:spacing w:after="0" w:line="240" w:lineRule="auto"/>
              <w:rPr>
                <w:rFonts w:ascii="Times New Roman" w:hAnsi="Times New Roman" w:eastAsia="Times New Roman"/>
              </w:rPr>
            </w:pPr>
          </w:p>
          <w:p>
            <w:pPr>
              <w:tabs>
                <w:tab w:val="left" w:pos="426"/>
              </w:tabs>
              <w:spacing w:after="0" w:line="240" w:lineRule="auto"/>
              <w:rPr>
                <w:rFonts w:ascii="Times New Roman" w:hAnsi="Times New Roman" w:eastAsia="Times New Roman"/>
              </w:rPr>
            </w:pPr>
          </w:p>
          <w:p>
            <w:pPr>
              <w:tabs>
                <w:tab w:val="left" w:pos="426"/>
              </w:tabs>
              <w:spacing w:after="0" w:line="240" w:lineRule="auto"/>
              <w:rPr>
                <w:rFonts w:ascii="Times New Roman" w:hAnsi="Times New Roman" w:eastAsia="Times New Roman"/>
              </w:rPr>
            </w:pPr>
          </w:p>
          <w:p>
            <w:pPr>
              <w:tabs>
                <w:tab w:val="left" w:pos="426"/>
              </w:tabs>
              <w:spacing w:after="0" w:line="240" w:lineRule="auto"/>
              <w:rPr>
                <w:rFonts w:ascii="Times New Roman" w:hAnsi="Times New Roman" w:eastAsia="Times New Roman"/>
              </w:rPr>
            </w:pPr>
          </w:p>
          <w:p>
            <w:pPr>
              <w:tabs>
                <w:tab w:val="left" w:pos="426"/>
              </w:tabs>
              <w:spacing w:after="0" w:line="240" w:lineRule="auto"/>
              <w:rPr>
                <w:rFonts w:ascii="Times New Roman" w:hAnsi="Times New Roman" w:eastAsia="Times New Roman"/>
              </w:rPr>
            </w:pPr>
          </w:p>
        </w:tc>
        <w:tc>
          <w:tcPr>
            <w:tcW w:w="1450"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Не потребує додаткових ресурсів</w:t>
            </w:r>
          </w:p>
          <w:p>
            <w:pPr>
              <w:spacing w:after="0" w:line="240" w:lineRule="auto"/>
              <w:rPr>
                <w:rFonts w:ascii="Times New Roman" w:hAnsi="Times New Roman" w:eastAsia="Times New Roman"/>
                <w:color w:val="000000"/>
              </w:rPr>
            </w:pPr>
          </w:p>
        </w:tc>
        <w:tc>
          <w:tcPr>
            <w:tcW w:w="2178" w:type="dxa"/>
            <w:noWrap w:val="0"/>
            <w:vAlign w:val="top"/>
          </w:tcPr>
          <w:p>
            <w:pPr>
              <w:autoSpaceDE w:val="0"/>
              <w:autoSpaceDN w:val="0"/>
              <w:adjustRightInd w:val="0"/>
              <w:spacing w:after="0" w:line="228" w:lineRule="auto"/>
              <w:rPr>
                <w:rFonts w:ascii="Times New Roman" w:hAnsi="Times New Roman" w:eastAsia="Times New Roman"/>
                <w:color w:val="000000"/>
                <w:spacing w:val="-4"/>
              </w:rPr>
            </w:pPr>
            <w:r>
              <w:rPr>
                <w:rFonts w:ascii="Times New Roman" w:hAnsi="Times New Roman" w:eastAsia="Times New Roman"/>
                <w:spacing w:val="-4"/>
              </w:rPr>
              <w:t>Розроблено пам’ятку про персональну відповідальність та обов’язок повідомлення керівника у разі спроб протиправного впливу третіх осіб та ознайомлено з нею всіх працівників управління персоналу Секретаріату Комісії та членів конкурсної комісії; представника сектору з питань запобігання та виявлення корупції Секретаріату Комісії включено до складу конкурсної комісії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591" w:type="dxa"/>
            <w:noWrap w:val="0"/>
            <w:vAlign w:val="top"/>
          </w:tcPr>
          <w:p>
            <w:pPr>
              <w:numPr>
                <w:ilvl w:val="0"/>
                <w:numId w:val="3"/>
              </w:numPr>
              <w:spacing w:after="0" w:line="240" w:lineRule="auto"/>
              <w:ind w:left="0" w:firstLine="0"/>
              <w:jc w:val="center"/>
              <w:rPr>
                <w:rFonts w:ascii="Times New Roman" w:hAnsi="Times New Roman" w:eastAsia="Times New Roman"/>
              </w:rPr>
            </w:pPr>
          </w:p>
        </w:tc>
        <w:tc>
          <w:tcPr>
            <w:tcW w:w="2552" w:type="dxa"/>
            <w:noWrap w:val="0"/>
            <w:vAlign w:val="top"/>
          </w:tcPr>
          <w:p>
            <w:pPr>
              <w:autoSpaceDE w:val="0"/>
              <w:autoSpaceDN w:val="0"/>
              <w:adjustRightInd w:val="0"/>
              <w:spacing w:after="0" w:line="240" w:lineRule="auto"/>
              <w:rPr>
                <w:rFonts w:ascii="Times New Roman" w:hAnsi="Times New Roman"/>
              </w:rPr>
            </w:pPr>
            <w:r>
              <w:rPr>
                <w:rFonts w:ascii="Times New Roman" w:hAnsi="Times New Roman"/>
              </w:rPr>
              <w:t xml:space="preserve">Можливість задоволення свого приватного інтересу працівником управління персоналу Секретаріату Комісії, відповідальним за організацію та проведення спеціальних перевірок осіб, уповноважених на виконання функцій держави або місцевого самоврядування </w:t>
            </w:r>
          </w:p>
          <w:p>
            <w:pPr>
              <w:autoSpaceDE w:val="0"/>
              <w:autoSpaceDN w:val="0"/>
              <w:adjustRightInd w:val="0"/>
              <w:spacing w:after="0" w:line="240" w:lineRule="auto"/>
              <w:rPr>
                <w:rFonts w:ascii="Times New Roman" w:hAnsi="Times New Roman"/>
                <w:color w:val="000000"/>
              </w:rPr>
            </w:pPr>
          </w:p>
        </w:tc>
        <w:tc>
          <w:tcPr>
            <w:tcW w:w="1250" w:type="dxa"/>
            <w:noWrap w:val="0"/>
            <w:vAlign w:val="top"/>
          </w:tcPr>
          <w:p>
            <w:pPr>
              <w:spacing w:after="0" w:line="240" w:lineRule="auto"/>
              <w:rPr>
                <w:rFonts w:ascii="Times New Roman" w:hAnsi="Times New Roman" w:eastAsia="Times New Roman"/>
                <w:color w:val="000000"/>
                <w:lang w:eastAsia="uk-UA"/>
              </w:rPr>
            </w:pPr>
            <w:r>
              <w:rPr>
                <w:rFonts w:ascii="Times New Roman" w:hAnsi="Times New Roman" w:eastAsia="Times New Roman"/>
                <w:color w:val="000000"/>
                <w:lang w:eastAsia="uk-UA"/>
              </w:rPr>
              <w:t>Середня</w:t>
            </w:r>
          </w:p>
        </w:tc>
        <w:tc>
          <w:tcPr>
            <w:tcW w:w="3050" w:type="dxa"/>
            <w:noWrap w:val="0"/>
            <w:vAlign w:val="top"/>
          </w:tcPr>
          <w:p>
            <w:pPr>
              <w:numPr>
                <w:ilvl w:val="0"/>
                <w:numId w:val="19"/>
              </w:numPr>
              <w:tabs>
                <w:tab w:val="left" w:pos="285"/>
              </w:tabs>
              <w:autoSpaceDE w:val="0"/>
              <w:autoSpaceDN w:val="0"/>
              <w:adjustRightInd w:val="0"/>
              <w:spacing w:after="0" w:line="240" w:lineRule="auto"/>
              <w:ind w:left="0" w:firstLine="0"/>
              <w:rPr>
                <w:rFonts w:ascii="Times New Roman" w:hAnsi="Times New Roman"/>
              </w:rPr>
            </w:pPr>
            <w:r>
              <w:rPr>
                <w:rFonts w:ascii="Times New Roman" w:hAnsi="Times New Roman"/>
              </w:rPr>
              <w:t>Встановлення додаткового контролю сектором з питань запобігання та виявлення корупції Секретаріату Комісії шляхом обов’язкового проведення аналізу документів, отриманих у ході проведення спеціальної перевірки, а також погодження (візування) довідки за результатами вказаної перевірки.</w:t>
            </w:r>
          </w:p>
          <w:p>
            <w:pPr>
              <w:tabs>
                <w:tab w:val="left" w:pos="285"/>
              </w:tabs>
              <w:autoSpaceDE w:val="0"/>
              <w:autoSpaceDN w:val="0"/>
              <w:adjustRightInd w:val="0"/>
              <w:spacing w:after="0" w:line="240" w:lineRule="auto"/>
              <w:rPr>
                <w:rFonts w:ascii="Times New Roman" w:hAnsi="Times New Roman"/>
              </w:rPr>
            </w:pPr>
          </w:p>
          <w:p>
            <w:pPr>
              <w:numPr>
                <w:ilvl w:val="0"/>
                <w:numId w:val="19"/>
              </w:numPr>
              <w:tabs>
                <w:tab w:val="left" w:pos="285"/>
              </w:tabs>
              <w:autoSpaceDE w:val="0"/>
              <w:autoSpaceDN w:val="0"/>
              <w:adjustRightInd w:val="0"/>
              <w:spacing w:after="0" w:line="240" w:lineRule="auto"/>
              <w:ind w:left="0" w:firstLine="0"/>
              <w:rPr>
                <w:rFonts w:ascii="Times New Roman" w:hAnsi="Times New Roman"/>
              </w:rPr>
            </w:pPr>
            <w:r>
              <w:rPr>
                <w:rFonts w:ascii="Times New Roman" w:hAnsi="Times New Roman" w:eastAsia="Times New Roman"/>
              </w:rPr>
              <w:t>Письмове попередження</w:t>
            </w:r>
            <w:r>
              <w:rPr>
                <w:rFonts w:ascii="Times New Roman" w:hAnsi="Times New Roman" w:eastAsia="Times New Roman"/>
                <w:lang w:eastAsia="ru-RU"/>
              </w:rPr>
              <w:t xml:space="preserve"> працівників управління персоналу Секретаріату Комісії про персональну відповідальність за порушення законодавства</w:t>
            </w:r>
          </w:p>
          <w:p>
            <w:pPr>
              <w:tabs>
                <w:tab w:val="left" w:pos="285"/>
              </w:tabs>
              <w:autoSpaceDE w:val="0"/>
              <w:autoSpaceDN w:val="0"/>
              <w:adjustRightInd w:val="0"/>
              <w:spacing w:after="0" w:line="240" w:lineRule="auto"/>
              <w:rPr>
                <w:rFonts w:ascii="Times New Roman" w:hAnsi="Times New Roman"/>
                <w:color w:val="000000"/>
              </w:rPr>
            </w:pPr>
          </w:p>
          <w:p>
            <w:pPr>
              <w:tabs>
                <w:tab w:val="left" w:pos="285"/>
              </w:tabs>
              <w:autoSpaceDE w:val="0"/>
              <w:autoSpaceDN w:val="0"/>
              <w:adjustRightInd w:val="0"/>
              <w:spacing w:after="0" w:line="240" w:lineRule="auto"/>
              <w:rPr>
                <w:rFonts w:ascii="Times New Roman" w:hAnsi="Times New Roman" w:eastAsia="Times New Roman"/>
                <w:lang w:eastAsia="ru-RU"/>
              </w:rPr>
            </w:pPr>
          </w:p>
        </w:tc>
        <w:tc>
          <w:tcPr>
            <w:tcW w:w="2422" w:type="dxa"/>
            <w:noWrap w:val="0"/>
            <w:vAlign w:val="top"/>
          </w:tcPr>
          <w:p>
            <w:pPr>
              <w:spacing w:after="0" w:line="240" w:lineRule="auto"/>
              <w:rPr>
                <w:rFonts w:ascii="Times New Roman" w:hAnsi="Times New Roman" w:eastAsia="Times New Roman"/>
              </w:rPr>
            </w:pPr>
            <w:r>
              <w:rPr>
                <w:rFonts w:ascii="Times New Roman" w:hAnsi="Times New Roman" w:eastAsia="Times New Roman"/>
                <w:color w:val="000000"/>
                <w:lang w:eastAsia="uk-UA"/>
              </w:rPr>
              <w:t xml:space="preserve">Управління персоналу, сектор з питань запобігання та виявлення корупції </w:t>
            </w:r>
            <w:r>
              <w:rPr>
                <w:rFonts w:ascii="Times New Roman" w:hAnsi="Times New Roman" w:eastAsia="Times New Roman"/>
              </w:rPr>
              <w:t>Секретаріату Комісії.</w:t>
            </w: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color w:val="000000"/>
                <w:lang w:eastAsia="uk-UA"/>
              </w:rPr>
            </w:pPr>
            <w:r>
              <w:rPr>
                <w:rFonts w:ascii="Times New Roman" w:hAnsi="Times New Roman" w:eastAsia="Times New Roman"/>
                <w:color w:val="000000"/>
                <w:lang w:eastAsia="uk-UA"/>
              </w:rPr>
              <w:t xml:space="preserve">Сектор з питань запобігання та виявлення корупції </w:t>
            </w:r>
            <w:r>
              <w:rPr>
                <w:rFonts w:ascii="Times New Roman" w:hAnsi="Times New Roman" w:eastAsia="Times New Roman"/>
              </w:rPr>
              <w:t>Секретаріату Комісії</w:t>
            </w:r>
          </w:p>
        </w:tc>
        <w:tc>
          <w:tcPr>
            <w:tcW w:w="1693" w:type="dxa"/>
            <w:noWrap w:val="0"/>
            <w:vAlign w:val="top"/>
          </w:tcPr>
          <w:p>
            <w:pPr>
              <w:autoSpaceDE w:val="0"/>
              <w:autoSpaceDN w:val="0"/>
              <w:adjustRightInd w:val="0"/>
              <w:spacing w:after="0" w:line="240" w:lineRule="auto"/>
              <w:rPr>
                <w:rFonts w:ascii="Times New Roman" w:hAnsi="Times New Roman" w:eastAsia="Times New Roman"/>
              </w:rPr>
            </w:pPr>
            <w:r>
              <w:rPr>
                <w:rFonts w:ascii="Times New Roman" w:hAnsi="Times New Roman" w:eastAsia="Times New Roman"/>
              </w:rPr>
              <w:t>Під час призначення на посади державної служби в Секретаріаті Комісії, які передбачають проведення спеціальної перевірки.</w:t>
            </w: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color w:val="000000"/>
              </w:rPr>
            </w:pPr>
            <w:r>
              <w:rPr>
                <w:rFonts w:ascii="Times New Roman" w:hAnsi="Times New Roman" w:eastAsia="Times New Roman"/>
                <w:color w:val="000000"/>
              </w:rPr>
              <w:t>Протягом 2021 – 2023 років</w:t>
            </w:r>
          </w:p>
          <w:p>
            <w:pPr>
              <w:spacing w:after="0" w:line="240" w:lineRule="auto"/>
              <w:rPr>
                <w:rFonts w:ascii="Times New Roman" w:hAnsi="Times New Roman" w:eastAsia="Times New Roman"/>
              </w:rPr>
            </w:pPr>
          </w:p>
        </w:tc>
        <w:tc>
          <w:tcPr>
            <w:tcW w:w="1450"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Не потребує додаткових ресурсів</w:t>
            </w:r>
          </w:p>
          <w:p>
            <w:pPr>
              <w:spacing w:after="0" w:line="240" w:lineRule="auto"/>
              <w:rPr>
                <w:rFonts w:ascii="Times New Roman" w:hAnsi="Times New Roman" w:eastAsia="Times New Roman"/>
                <w:color w:val="000000"/>
              </w:rPr>
            </w:pPr>
          </w:p>
        </w:tc>
        <w:tc>
          <w:tcPr>
            <w:tcW w:w="2178"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rPr>
              <w:t>Сектором з питань запобігання та виявлення корупції Секретаріату Комісії здійснюється аналіз документів, отриманих у ході проведення спеціальної перевірки, а також застосовується процедура погодження (візування) довідки за результатами вказаної перевірки з працівниками сектору</w:t>
            </w:r>
            <w:r>
              <w:rPr>
                <w:rFonts w:ascii="Times New Roman" w:hAnsi="Times New Roman" w:eastAsia="Times New Roman"/>
                <w:color w:val="000000"/>
              </w:rPr>
              <w:t>. Працівників управління персоналу Секретаріату Комісії письмово попереджено про персональну відповідальність за порушення законодавства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591" w:type="dxa"/>
            <w:noWrap w:val="0"/>
            <w:vAlign w:val="top"/>
          </w:tcPr>
          <w:p>
            <w:pPr>
              <w:numPr>
                <w:ilvl w:val="0"/>
                <w:numId w:val="3"/>
              </w:numPr>
              <w:spacing w:after="0" w:line="240" w:lineRule="auto"/>
              <w:ind w:left="0" w:firstLine="0"/>
              <w:jc w:val="center"/>
              <w:rPr>
                <w:rFonts w:ascii="Times New Roman" w:hAnsi="Times New Roman" w:eastAsia="Times New Roman"/>
              </w:rPr>
            </w:pPr>
          </w:p>
        </w:tc>
        <w:tc>
          <w:tcPr>
            <w:tcW w:w="2552" w:type="dxa"/>
            <w:noWrap w:val="0"/>
            <w:vAlign w:val="top"/>
          </w:tcPr>
          <w:p>
            <w:pPr>
              <w:autoSpaceDE w:val="0"/>
              <w:autoSpaceDN w:val="0"/>
              <w:adjustRightInd w:val="0"/>
              <w:spacing w:after="0" w:line="228" w:lineRule="auto"/>
              <w:rPr>
                <w:rFonts w:ascii="Times New Roman" w:hAnsi="Times New Roman"/>
                <w:spacing w:val="-4"/>
              </w:rPr>
            </w:pPr>
            <w:r>
              <w:rPr>
                <w:rFonts w:ascii="Times New Roman" w:hAnsi="Times New Roman"/>
                <w:spacing w:val="-4"/>
              </w:rPr>
              <w:t>Можливість задоволення свого приватного інтересу працівниками Секретаріату Комісії, відповідальними за отримання документів, які слугують підставою для призначення осіб на посади, та за ведення військового обліку, під час призначення на посади та здійснення звірянь наявності у працівників Секретаріату Комісії військово-облікових документів, а також надсилання до відповідного районного військового комісаріату повідомлення про зміну облікових даних</w:t>
            </w:r>
          </w:p>
        </w:tc>
        <w:tc>
          <w:tcPr>
            <w:tcW w:w="1250" w:type="dxa"/>
            <w:noWrap w:val="0"/>
            <w:vAlign w:val="top"/>
          </w:tcPr>
          <w:p>
            <w:pPr>
              <w:spacing w:after="0" w:line="240" w:lineRule="auto"/>
              <w:rPr>
                <w:rFonts w:ascii="Times New Roman" w:hAnsi="Times New Roman" w:eastAsia="Times New Roman"/>
                <w:color w:val="000000"/>
                <w:lang w:eastAsia="uk-UA"/>
              </w:rPr>
            </w:pPr>
            <w:r>
              <w:rPr>
                <w:rFonts w:ascii="Times New Roman" w:hAnsi="Times New Roman" w:eastAsia="Times New Roman"/>
                <w:color w:val="000000"/>
                <w:lang w:eastAsia="uk-UA"/>
              </w:rPr>
              <w:t>Середня</w:t>
            </w:r>
          </w:p>
        </w:tc>
        <w:tc>
          <w:tcPr>
            <w:tcW w:w="3050" w:type="dxa"/>
            <w:noWrap w:val="0"/>
            <w:vAlign w:val="top"/>
          </w:tcPr>
          <w:p>
            <w:pPr>
              <w:autoSpaceDE w:val="0"/>
              <w:autoSpaceDN w:val="0"/>
              <w:adjustRightInd w:val="0"/>
              <w:spacing w:after="0" w:line="240" w:lineRule="auto"/>
              <w:rPr>
                <w:rFonts w:ascii="Times New Roman" w:hAnsi="Times New Roman"/>
                <w:color w:val="000000"/>
              </w:rPr>
            </w:pPr>
            <w:r>
              <w:rPr>
                <w:rFonts w:ascii="Times New Roman" w:hAnsi="Times New Roman"/>
                <w:color w:val="000000"/>
              </w:rPr>
              <w:t>Проведення періодичних вибіркових документальних перевірок особи, відповідальної за ведення військового обліку призовників і військовозобов’язаних, щодо повноти та правильності проведеного військового обліку</w:t>
            </w:r>
          </w:p>
        </w:tc>
        <w:tc>
          <w:tcPr>
            <w:tcW w:w="2422" w:type="dxa"/>
            <w:noWrap w:val="0"/>
            <w:vAlign w:val="top"/>
          </w:tcPr>
          <w:p>
            <w:pPr>
              <w:spacing w:after="0" w:line="240" w:lineRule="auto"/>
              <w:rPr>
                <w:rFonts w:ascii="Times New Roman" w:hAnsi="Times New Roman" w:eastAsia="Times New Roman"/>
                <w:color w:val="000000"/>
                <w:lang w:eastAsia="uk-UA"/>
              </w:rPr>
            </w:pPr>
            <w:r>
              <w:rPr>
                <w:rFonts w:ascii="Times New Roman" w:hAnsi="Times New Roman" w:eastAsia="Times New Roman"/>
                <w:lang w:eastAsia="uk-UA"/>
              </w:rPr>
              <w:t>Управління персоналу, сектор з питань запобігання та виявлення корупції Секретаріату Комісії</w:t>
            </w:r>
          </w:p>
        </w:tc>
        <w:tc>
          <w:tcPr>
            <w:tcW w:w="1693" w:type="dxa"/>
            <w:noWrap w:val="0"/>
            <w:vAlign w:val="top"/>
          </w:tcPr>
          <w:p>
            <w:pPr>
              <w:spacing w:after="0" w:line="240" w:lineRule="auto"/>
              <w:rPr>
                <w:rFonts w:ascii="Times New Roman" w:hAnsi="Times New Roman" w:eastAsia="Times New Roman"/>
              </w:rPr>
            </w:pPr>
            <w:r>
              <w:rPr>
                <w:rFonts w:ascii="Times New Roman" w:hAnsi="Times New Roman" w:eastAsia="Times New Roman"/>
              </w:rPr>
              <w:t>Щопівроку</w:t>
            </w:r>
          </w:p>
        </w:tc>
        <w:tc>
          <w:tcPr>
            <w:tcW w:w="1450"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Не потребує додаткових ресурсів</w:t>
            </w:r>
          </w:p>
          <w:p>
            <w:pPr>
              <w:spacing w:after="0" w:line="240" w:lineRule="auto"/>
              <w:rPr>
                <w:rFonts w:ascii="Times New Roman" w:hAnsi="Times New Roman" w:eastAsia="Times New Roman"/>
                <w:color w:val="000000"/>
              </w:rPr>
            </w:pPr>
          </w:p>
        </w:tc>
        <w:tc>
          <w:tcPr>
            <w:tcW w:w="2178"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Документальну перевірку проведено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591" w:type="dxa"/>
            <w:noWrap w:val="0"/>
            <w:vAlign w:val="top"/>
          </w:tcPr>
          <w:p>
            <w:pPr>
              <w:numPr>
                <w:ilvl w:val="0"/>
                <w:numId w:val="3"/>
              </w:numPr>
              <w:spacing w:after="0" w:line="240" w:lineRule="auto"/>
              <w:ind w:left="0" w:firstLine="0"/>
              <w:jc w:val="center"/>
              <w:rPr>
                <w:rFonts w:ascii="Times New Roman" w:hAnsi="Times New Roman" w:eastAsia="Times New Roman"/>
              </w:rPr>
            </w:pPr>
          </w:p>
        </w:tc>
        <w:tc>
          <w:tcPr>
            <w:tcW w:w="2552" w:type="dxa"/>
            <w:noWrap w:val="0"/>
            <w:vAlign w:val="top"/>
          </w:tcPr>
          <w:p>
            <w:pPr>
              <w:autoSpaceDE w:val="0"/>
              <w:autoSpaceDN w:val="0"/>
              <w:adjustRightInd w:val="0"/>
              <w:spacing w:after="0" w:line="240" w:lineRule="auto"/>
              <w:rPr>
                <w:rFonts w:ascii="Times New Roman" w:hAnsi="Times New Roman" w:eastAsia="Times New Roman"/>
                <w:lang w:eastAsia="ru-RU"/>
              </w:rPr>
            </w:pPr>
            <w:r>
              <w:rPr>
                <w:rFonts w:ascii="Times New Roman" w:hAnsi="Times New Roman" w:eastAsia="Times New Roman"/>
                <w:lang w:eastAsia="ru-RU"/>
              </w:rPr>
              <w:t>Імовірність задоволення приватного інтересу під час проведення щорічного оцінювання результатів службової діяльності державних службовців</w:t>
            </w:r>
          </w:p>
        </w:tc>
        <w:tc>
          <w:tcPr>
            <w:tcW w:w="1250" w:type="dxa"/>
            <w:noWrap w:val="0"/>
            <w:vAlign w:val="top"/>
          </w:tcPr>
          <w:p>
            <w:pPr>
              <w:spacing w:after="0" w:line="240" w:lineRule="auto"/>
              <w:rPr>
                <w:rFonts w:ascii="Times New Roman" w:hAnsi="Times New Roman" w:eastAsia="Times New Roman"/>
                <w:lang w:eastAsia="ru-RU"/>
              </w:rPr>
            </w:pPr>
            <w:r>
              <w:rPr>
                <w:rFonts w:ascii="Times New Roman" w:hAnsi="Times New Roman" w:eastAsia="Times New Roman"/>
                <w:lang w:eastAsia="ru-RU"/>
              </w:rPr>
              <w:t>Низька</w:t>
            </w:r>
          </w:p>
        </w:tc>
        <w:tc>
          <w:tcPr>
            <w:tcW w:w="3050" w:type="dxa"/>
            <w:noWrap w:val="0"/>
            <w:vAlign w:val="top"/>
          </w:tcPr>
          <w:p>
            <w:pPr>
              <w:numPr>
                <w:ilvl w:val="0"/>
                <w:numId w:val="20"/>
              </w:numPr>
              <w:tabs>
                <w:tab w:val="left" w:pos="285"/>
              </w:tabs>
              <w:autoSpaceDE w:val="0"/>
              <w:autoSpaceDN w:val="0"/>
              <w:adjustRightInd w:val="0"/>
              <w:spacing w:after="0" w:line="240" w:lineRule="auto"/>
              <w:ind w:left="0" w:firstLine="0"/>
              <w:rPr>
                <w:rFonts w:ascii="Times New Roman" w:hAnsi="Times New Roman" w:eastAsia="Times New Roman"/>
                <w:lang w:eastAsia="ru-RU"/>
              </w:rPr>
            </w:pPr>
            <w:r>
              <w:rPr>
                <w:rFonts w:ascii="Times New Roman" w:hAnsi="Times New Roman" w:eastAsia="Times New Roman"/>
                <w:lang w:eastAsia="ru-RU"/>
              </w:rPr>
              <w:t>Проведення аналізу документації щодо результатів щорічного оцінювання, за результатами якого виставлено негативні або відмінні оцінки (з метою недопущення безпідставного звільнення/нарахування премії державному службовцю), та складання довідки за результатами проведеного аналізу (в разі виявлення порушень).</w:t>
            </w:r>
          </w:p>
          <w:p>
            <w:pPr>
              <w:tabs>
                <w:tab w:val="left" w:pos="285"/>
              </w:tabs>
              <w:autoSpaceDE w:val="0"/>
              <w:autoSpaceDN w:val="0"/>
              <w:adjustRightInd w:val="0"/>
              <w:spacing w:after="0" w:line="240" w:lineRule="auto"/>
              <w:rPr>
                <w:rFonts w:ascii="Times New Roman" w:hAnsi="Times New Roman" w:eastAsia="Times New Roman"/>
                <w:lang w:eastAsia="ru-RU"/>
              </w:rPr>
            </w:pPr>
          </w:p>
          <w:p>
            <w:pPr>
              <w:numPr>
                <w:ilvl w:val="0"/>
                <w:numId w:val="20"/>
              </w:numPr>
              <w:tabs>
                <w:tab w:val="left" w:pos="285"/>
              </w:tabs>
              <w:autoSpaceDE w:val="0"/>
              <w:autoSpaceDN w:val="0"/>
              <w:adjustRightInd w:val="0"/>
              <w:spacing w:after="0" w:line="240" w:lineRule="auto"/>
              <w:ind w:left="0" w:firstLine="0"/>
              <w:rPr>
                <w:rFonts w:ascii="Times New Roman" w:hAnsi="Times New Roman" w:eastAsia="Times New Roman"/>
                <w:lang w:eastAsia="ru-RU"/>
              </w:rPr>
            </w:pPr>
            <w:r>
              <w:rPr>
                <w:rFonts w:ascii="Times New Roman" w:hAnsi="Times New Roman" w:eastAsia="Times New Roman"/>
              </w:rPr>
              <w:t>Письмове попередження</w:t>
            </w:r>
            <w:r>
              <w:rPr>
                <w:rFonts w:ascii="Times New Roman" w:hAnsi="Times New Roman" w:eastAsia="Times New Roman"/>
                <w:lang w:eastAsia="ru-RU"/>
              </w:rPr>
              <w:t xml:space="preserve"> керівників структурних підрозділів Секретаріату Комісії про персональну відповідальність за порушення законодавства</w:t>
            </w:r>
          </w:p>
        </w:tc>
        <w:tc>
          <w:tcPr>
            <w:tcW w:w="2422" w:type="dxa"/>
            <w:noWrap w:val="0"/>
            <w:vAlign w:val="top"/>
          </w:tcPr>
          <w:p>
            <w:pPr>
              <w:spacing w:after="0" w:line="240" w:lineRule="auto"/>
              <w:rPr>
                <w:rFonts w:ascii="Times New Roman" w:hAnsi="Times New Roman" w:eastAsia="Times New Roman"/>
                <w:lang w:eastAsia="ru-RU"/>
              </w:rPr>
            </w:pPr>
            <w:r>
              <w:rPr>
                <w:rFonts w:ascii="Times New Roman" w:hAnsi="Times New Roman" w:eastAsia="Times New Roman"/>
                <w:lang w:eastAsia="ru-RU"/>
              </w:rPr>
              <w:t>Управління персоналу</w:t>
            </w:r>
            <w:r>
              <w:rPr>
                <w:rFonts w:ascii="Times New Roman" w:hAnsi="Times New Roman" w:eastAsia="Times New Roman"/>
              </w:rPr>
              <w:t>;</w:t>
            </w:r>
            <w:r>
              <w:rPr>
                <w:rFonts w:ascii="Times New Roman" w:hAnsi="Times New Roman" w:eastAsia="Times New Roman"/>
                <w:lang w:eastAsia="ru-RU"/>
              </w:rPr>
              <w:t xml:space="preserve"> сектор з питань запобігання та виявлення корупції </w:t>
            </w:r>
            <w:r>
              <w:rPr>
                <w:rFonts w:ascii="Times New Roman" w:hAnsi="Times New Roman" w:eastAsia="Times New Roman"/>
              </w:rPr>
              <w:t>Секретаріату Комісії</w:t>
            </w:r>
          </w:p>
          <w:p>
            <w:pPr>
              <w:spacing w:after="0" w:line="240" w:lineRule="auto"/>
              <w:rPr>
                <w:rFonts w:ascii="Times New Roman" w:hAnsi="Times New Roman" w:eastAsia="Times New Roman"/>
                <w:lang w:eastAsia="ru-RU"/>
              </w:rPr>
            </w:pPr>
          </w:p>
          <w:p>
            <w:pPr>
              <w:spacing w:after="0" w:line="240" w:lineRule="auto"/>
              <w:rPr>
                <w:rFonts w:ascii="Times New Roman" w:hAnsi="Times New Roman" w:eastAsia="Times New Roman"/>
                <w:lang w:eastAsia="ru-RU"/>
              </w:rPr>
            </w:pPr>
          </w:p>
          <w:p>
            <w:pPr>
              <w:spacing w:after="0" w:line="240" w:lineRule="auto"/>
              <w:rPr>
                <w:rFonts w:ascii="Times New Roman" w:hAnsi="Times New Roman" w:eastAsia="Times New Roman"/>
                <w:lang w:eastAsia="ru-RU"/>
              </w:rPr>
            </w:pPr>
          </w:p>
          <w:p>
            <w:pPr>
              <w:spacing w:after="0" w:line="240" w:lineRule="auto"/>
              <w:rPr>
                <w:rFonts w:ascii="Times New Roman" w:hAnsi="Times New Roman" w:eastAsia="Times New Roman"/>
                <w:lang w:eastAsia="ru-RU"/>
              </w:rPr>
            </w:pPr>
          </w:p>
          <w:p>
            <w:pPr>
              <w:spacing w:after="0" w:line="240" w:lineRule="auto"/>
              <w:rPr>
                <w:rFonts w:ascii="Times New Roman" w:hAnsi="Times New Roman" w:eastAsia="Times New Roman"/>
                <w:lang w:eastAsia="ru-RU"/>
              </w:rPr>
            </w:pPr>
          </w:p>
          <w:p>
            <w:pPr>
              <w:spacing w:after="0" w:line="240" w:lineRule="auto"/>
              <w:rPr>
                <w:rFonts w:ascii="Times New Roman" w:hAnsi="Times New Roman" w:eastAsia="Times New Roman"/>
                <w:lang w:eastAsia="ru-RU"/>
              </w:rPr>
            </w:pPr>
          </w:p>
          <w:p>
            <w:pPr>
              <w:spacing w:after="0" w:line="240" w:lineRule="auto"/>
              <w:rPr>
                <w:rFonts w:ascii="Times New Roman" w:hAnsi="Times New Roman" w:eastAsia="Times New Roman"/>
                <w:lang w:eastAsia="ru-RU"/>
              </w:rPr>
            </w:pPr>
          </w:p>
        </w:tc>
        <w:tc>
          <w:tcPr>
            <w:tcW w:w="1693" w:type="dxa"/>
            <w:noWrap w:val="0"/>
            <w:vAlign w:val="top"/>
          </w:tcPr>
          <w:p>
            <w:pPr>
              <w:spacing w:after="0" w:line="240" w:lineRule="auto"/>
              <w:rPr>
                <w:rFonts w:ascii="Times New Roman" w:hAnsi="Times New Roman" w:eastAsia="Times New Roman"/>
                <w:lang w:eastAsia="ru-RU"/>
              </w:rPr>
            </w:pPr>
            <w:r>
              <w:rPr>
                <w:rFonts w:ascii="Times New Roman" w:hAnsi="Times New Roman" w:eastAsia="Times New Roman"/>
              </w:rPr>
              <w:t xml:space="preserve">До затвердження висновку </w:t>
            </w:r>
            <w:r>
              <w:rPr>
                <w:rFonts w:ascii="Times New Roman" w:hAnsi="Times New Roman" w:eastAsia="Times New Roman"/>
                <w:lang w:eastAsia="ru-RU"/>
              </w:rPr>
              <w:t>щодо оцінювання результатів службової діяльності державних службовців.</w:t>
            </w: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r>
              <w:rPr>
                <w:rFonts w:ascii="Times New Roman" w:hAnsi="Times New Roman" w:eastAsia="Times New Roman"/>
                <w:color w:val="000000"/>
              </w:rPr>
              <w:t xml:space="preserve">Протягом </w:t>
            </w:r>
            <w:r>
              <w:rPr>
                <w:rFonts w:ascii="Times New Roman" w:hAnsi="Times New Roman" w:eastAsia="Times New Roman"/>
                <w:color w:val="000000"/>
              </w:rPr>
              <w:br w:type="textWrapping"/>
            </w:r>
            <w:r>
              <w:rPr>
                <w:rFonts w:ascii="Times New Roman" w:hAnsi="Times New Roman" w:eastAsia="Times New Roman"/>
                <w:color w:val="000000"/>
              </w:rPr>
              <w:t>2021 – 2023 років</w:t>
            </w:r>
          </w:p>
          <w:p>
            <w:pPr>
              <w:spacing w:after="0" w:line="240" w:lineRule="auto"/>
              <w:rPr>
                <w:rFonts w:ascii="Times New Roman" w:hAnsi="Times New Roman" w:eastAsia="Times New Roman"/>
              </w:rPr>
            </w:pPr>
          </w:p>
        </w:tc>
        <w:tc>
          <w:tcPr>
            <w:tcW w:w="1450"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Не потребує додаткових ресурсів</w:t>
            </w:r>
          </w:p>
          <w:p>
            <w:pPr>
              <w:spacing w:after="0" w:line="240" w:lineRule="auto"/>
              <w:rPr>
                <w:rFonts w:ascii="Times New Roman" w:hAnsi="Times New Roman" w:eastAsia="Times New Roman"/>
                <w:color w:val="000000"/>
              </w:rPr>
            </w:pPr>
          </w:p>
        </w:tc>
        <w:tc>
          <w:tcPr>
            <w:tcW w:w="2178"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 xml:space="preserve">Проведено аналіз документації щодо результатів щорічного оцінювання, складено довідки за результатами (у разі виявлення порушень); працівників Секретаріату Комісії письмово попереджено про персональну відповідальність за порушення законодавства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15186" w:type="dxa"/>
            <w:gridSpan w:val="8"/>
            <w:noWrap w:val="0"/>
            <w:vAlign w:val="top"/>
          </w:tcPr>
          <w:p>
            <w:pPr>
              <w:spacing w:after="0" w:line="240" w:lineRule="auto"/>
              <w:jc w:val="center"/>
              <w:rPr>
                <w:rFonts w:ascii="Times New Roman" w:hAnsi="Times New Roman" w:eastAsia="Times New Roman"/>
                <w:b/>
              </w:rPr>
            </w:pPr>
            <w:r>
              <w:rPr>
                <w:rFonts w:ascii="Times New Roman" w:hAnsi="Times New Roman"/>
                <w:b/>
                <w:bCs/>
                <w:sz w:val="24"/>
                <w:szCs w:val="24"/>
                <w:lang w:eastAsia="uk-UA"/>
              </w:rPr>
              <w:t>Запобігання та виявлення корупції в Комісії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591" w:type="dxa"/>
            <w:noWrap w:val="0"/>
            <w:vAlign w:val="top"/>
          </w:tcPr>
          <w:p>
            <w:pPr>
              <w:numPr>
                <w:ilvl w:val="0"/>
                <w:numId w:val="3"/>
              </w:numPr>
              <w:spacing w:after="0" w:line="240" w:lineRule="auto"/>
              <w:ind w:left="0" w:firstLine="0"/>
              <w:jc w:val="center"/>
              <w:rPr>
                <w:rFonts w:ascii="Times New Roman" w:hAnsi="Times New Roman" w:eastAsia="Times New Roman"/>
              </w:rPr>
            </w:pPr>
          </w:p>
        </w:tc>
        <w:tc>
          <w:tcPr>
            <w:tcW w:w="2552" w:type="dxa"/>
            <w:noWrap w:val="0"/>
            <w:vAlign w:val="top"/>
          </w:tcPr>
          <w:p>
            <w:pPr>
              <w:spacing w:after="0" w:line="240" w:lineRule="auto"/>
              <w:rPr>
                <w:rFonts w:ascii="Times New Roman" w:hAnsi="Times New Roman" w:eastAsia="Times New Roman"/>
              </w:rPr>
            </w:pPr>
            <w:r>
              <w:rPr>
                <w:rFonts w:ascii="Times New Roman" w:hAnsi="Times New Roman" w:eastAsia="Times New Roman"/>
              </w:rPr>
              <w:t>Неврегульованість порядку розгляду повідомлень про порушення вимог Закону України "Про запобігання корупції", внесених викривачами до Комісії</w:t>
            </w:r>
          </w:p>
        </w:tc>
        <w:tc>
          <w:tcPr>
            <w:tcW w:w="1250" w:type="dxa"/>
            <w:noWrap w:val="0"/>
            <w:vAlign w:val="top"/>
          </w:tcPr>
          <w:p>
            <w:pPr>
              <w:spacing w:after="0" w:line="240" w:lineRule="auto"/>
              <w:rPr>
                <w:rFonts w:ascii="Times New Roman" w:hAnsi="Times New Roman" w:eastAsia="Times New Roman"/>
              </w:rPr>
            </w:pPr>
            <w:r>
              <w:rPr>
                <w:rFonts w:ascii="Times New Roman" w:hAnsi="Times New Roman" w:eastAsia="Times New Roman"/>
              </w:rPr>
              <w:t>Середня</w:t>
            </w:r>
          </w:p>
        </w:tc>
        <w:tc>
          <w:tcPr>
            <w:tcW w:w="3050" w:type="dxa"/>
            <w:noWrap w:val="0"/>
            <w:vAlign w:val="top"/>
          </w:tcPr>
          <w:p>
            <w:pPr>
              <w:numPr>
                <w:ilvl w:val="0"/>
                <w:numId w:val="21"/>
              </w:numPr>
              <w:tabs>
                <w:tab w:val="left" w:pos="285"/>
              </w:tabs>
              <w:spacing w:after="0" w:line="240" w:lineRule="auto"/>
              <w:ind w:left="0" w:firstLine="0"/>
              <w:rPr>
                <w:rFonts w:ascii="Times New Roman" w:hAnsi="Times New Roman" w:eastAsia="Times New Roman"/>
              </w:rPr>
            </w:pPr>
            <w:r>
              <w:rPr>
                <w:rFonts w:ascii="Times New Roman" w:hAnsi="Times New Roman" w:eastAsia="Times New Roman"/>
              </w:rPr>
              <w:t xml:space="preserve">Розроблення та затвердження організаційно-розпорядчого документа, що регулюватиме порядок розгляду в Комісії повідомлень про порушення вимог Закону України "Про запобігання корупції", внесених викривачами. </w:t>
            </w:r>
          </w:p>
          <w:p>
            <w:pPr>
              <w:tabs>
                <w:tab w:val="left" w:pos="285"/>
              </w:tabs>
              <w:spacing w:after="0" w:line="240" w:lineRule="auto"/>
              <w:rPr>
                <w:rFonts w:ascii="Times New Roman" w:hAnsi="Times New Roman" w:eastAsia="Times New Roman"/>
              </w:rPr>
            </w:pPr>
          </w:p>
          <w:p>
            <w:pPr>
              <w:tabs>
                <w:tab w:val="left" w:pos="285"/>
              </w:tabs>
              <w:spacing w:after="0" w:line="240" w:lineRule="auto"/>
              <w:rPr>
                <w:rFonts w:ascii="Times New Roman" w:hAnsi="Times New Roman" w:eastAsia="Times New Roman"/>
              </w:rPr>
            </w:pPr>
            <w:r>
              <w:rPr>
                <w:rFonts w:ascii="Times New Roman" w:hAnsi="Times New Roman" w:eastAsia="Times New Roman"/>
              </w:rPr>
              <w:t>2. Забезпечення налагодження і функціонування внутрішніх та регулярних каналів повідомлення про можливі факти корупційних або пов’язаних з корупцією правопорушень, інших порушень Закону України "Про запобігання корупції"</w:t>
            </w:r>
          </w:p>
        </w:tc>
        <w:tc>
          <w:tcPr>
            <w:tcW w:w="2422" w:type="dxa"/>
            <w:noWrap w:val="0"/>
            <w:vAlign w:val="top"/>
          </w:tcPr>
          <w:p>
            <w:pPr>
              <w:spacing w:after="0" w:line="240" w:lineRule="auto"/>
              <w:rPr>
                <w:rFonts w:ascii="Times New Roman" w:hAnsi="Times New Roman" w:eastAsia="Times New Roman"/>
              </w:rPr>
            </w:pPr>
            <w:r>
              <w:rPr>
                <w:rFonts w:ascii="Times New Roman" w:hAnsi="Times New Roman" w:eastAsia="Times New Roman"/>
              </w:rPr>
              <w:t xml:space="preserve">Сектор з питань запобігання та виявлення корупції,  юридичне управління Секретаріату Комісії. </w:t>
            </w: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r>
              <w:rPr>
                <w:rFonts w:ascii="Times New Roman" w:hAnsi="Times New Roman" w:eastAsia="Times New Roman"/>
              </w:rPr>
              <w:t>Сектор з питань запобігання та виявлення корупції Секретаріату Комісії</w:t>
            </w:r>
          </w:p>
        </w:tc>
        <w:tc>
          <w:tcPr>
            <w:tcW w:w="1693"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 xml:space="preserve">Вересень </w:t>
            </w:r>
            <w:r>
              <w:rPr>
                <w:rFonts w:ascii="Times New Roman" w:hAnsi="Times New Roman" w:eastAsia="Times New Roman"/>
                <w:color w:val="000000"/>
              </w:rPr>
              <w:br w:type="textWrapping"/>
            </w:r>
            <w:r>
              <w:rPr>
                <w:rFonts w:ascii="Times New Roman" w:hAnsi="Times New Roman" w:eastAsia="Times New Roman"/>
                <w:color w:val="000000"/>
              </w:rPr>
              <w:t>2021 року.</w:t>
            </w: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r>
              <w:rPr>
                <w:rFonts w:ascii="Times New Roman" w:hAnsi="Times New Roman" w:eastAsia="Times New Roman"/>
                <w:color w:val="000000"/>
              </w:rPr>
              <w:t>Протягом</w:t>
            </w:r>
            <w:r>
              <w:rPr>
                <w:rFonts w:ascii="Times New Roman" w:hAnsi="Times New Roman" w:eastAsia="Times New Roman"/>
                <w:color w:val="000000"/>
              </w:rPr>
              <w:br w:type="textWrapping"/>
            </w:r>
            <w:r>
              <w:rPr>
                <w:rFonts w:ascii="Times New Roman" w:hAnsi="Times New Roman" w:eastAsia="Times New Roman"/>
                <w:color w:val="000000"/>
              </w:rPr>
              <w:t>2021 – 2023 років</w:t>
            </w:r>
          </w:p>
        </w:tc>
        <w:tc>
          <w:tcPr>
            <w:tcW w:w="1450"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Не потребує додаткових ресурсів</w:t>
            </w:r>
          </w:p>
          <w:p>
            <w:pPr>
              <w:spacing w:after="0" w:line="240" w:lineRule="auto"/>
              <w:rPr>
                <w:rFonts w:ascii="Times New Roman" w:hAnsi="Times New Roman" w:eastAsia="Times New Roman"/>
                <w:color w:val="000000"/>
              </w:rPr>
            </w:pPr>
          </w:p>
        </w:tc>
        <w:tc>
          <w:tcPr>
            <w:tcW w:w="2178" w:type="dxa"/>
            <w:noWrap w:val="0"/>
            <w:vAlign w:val="top"/>
          </w:tcPr>
          <w:p>
            <w:pPr>
              <w:spacing w:after="0" w:line="221" w:lineRule="auto"/>
              <w:rPr>
                <w:rFonts w:ascii="Times New Roman" w:hAnsi="Times New Roman" w:eastAsia="Times New Roman"/>
                <w:color w:val="000000"/>
              </w:rPr>
            </w:pPr>
            <w:r>
              <w:rPr>
                <w:rFonts w:ascii="Times New Roman" w:hAnsi="Times New Roman" w:eastAsia="Times New Roman"/>
                <w:color w:val="000000"/>
              </w:rPr>
              <w:t xml:space="preserve">Розроблено та затверджено організаційно-розпорядчий документ, який регулює порядок розгляду повідомлень про порушення Закону України "Про запобігання корупції", внесених викривачами. Забезпечено налагодження і функціонування внутрішніх регулярних каналів повідомлень про можливі факти корупційних або пов’язаних з корупцією правопорушень, інших порушень Закону України "Про запобігання корупції"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591" w:type="dxa"/>
            <w:noWrap w:val="0"/>
            <w:vAlign w:val="top"/>
          </w:tcPr>
          <w:p>
            <w:pPr>
              <w:numPr>
                <w:ilvl w:val="0"/>
                <w:numId w:val="3"/>
              </w:numPr>
              <w:spacing w:after="0" w:line="228" w:lineRule="auto"/>
              <w:ind w:left="0" w:firstLine="0"/>
              <w:jc w:val="center"/>
              <w:rPr>
                <w:rFonts w:ascii="Times New Roman" w:hAnsi="Times New Roman" w:eastAsia="Times New Roman"/>
              </w:rPr>
            </w:pPr>
          </w:p>
        </w:tc>
        <w:tc>
          <w:tcPr>
            <w:tcW w:w="2552" w:type="dxa"/>
            <w:noWrap w:val="0"/>
            <w:vAlign w:val="top"/>
          </w:tcPr>
          <w:p>
            <w:pPr>
              <w:spacing w:after="0" w:line="228" w:lineRule="auto"/>
              <w:rPr>
                <w:rFonts w:ascii="Times New Roman" w:hAnsi="Times New Roman" w:eastAsia="Times New Roman"/>
              </w:rPr>
            </w:pPr>
            <w:r>
              <w:rPr>
                <w:rFonts w:ascii="Times New Roman" w:hAnsi="Times New Roman" w:eastAsia="Times New Roman"/>
              </w:rPr>
              <w:t xml:space="preserve">Неврегульованість механізмів заохочення та формування культури повідомлення про можливі факти корупційних або пов’язаних з корупцією правопорушень, інших порушень Закону України "Про запобігання корупції" </w:t>
            </w:r>
          </w:p>
        </w:tc>
        <w:tc>
          <w:tcPr>
            <w:tcW w:w="1250" w:type="dxa"/>
            <w:noWrap w:val="0"/>
            <w:vAlign w:val="top"/>
          </w:tcPr>
          <w:p>
            <w:pPr>
              <w:spacing w:after="0" w:line="228" w:lineRule="auto"/>
              <w:rPr>
                <w:rFonts w:ascii="Times New Roman" w:hAnsi="Times New Roman" w:eastAsia="Times New Roman"/>
              </w:rPr>
            </w:pPr>
            <w:r>
              <w:rPr>
                <w:rFonts w:ascii="Times New Roman" w:hAnsi="Times New Roman" w:eastAsia="Times New Roman"/>
              </w:rPr>
              <w:t>Середня</w:t>
            </w:r>
          </w:p>
        </w:tc>
        <w:tc>
          <w:tcPr>
            <w:tcW w:w="3050" w:type="dxa"/>
            <w:noWrap w:val="0"/>
            <w:vAlign w:val="top"/>
          </w:tcPr>
          <w:p>
            <w:pPr>
              <w:numPr>
                <w:ilvl w:val="0"/>
                <w:numId w:val="22"/>
              </w:numPr>
              <w:tabs>
                <w:tab w:val="left" w:pos="285"/>
              </w:tabs>
              <w:spacing w:after="0" w:line="228" w:lineRule="auto"/>
              <w:ind w:left="0" w:firstLine="0"/>
              <w:rPr>
                <w:rFonts w:ascii="Times New Roman" w:hAnsi="Times New Roman" w:eastAsia="Times New Roman"/>
              </w:rPr>
            </w:pPr>
            <w:r>
              <w:rPr>
                <w:rFonts w:ascii="Times New Roman" w:hAnsi="Times New Roman" w:eastAsia="Times New Roman"/>
              </w:rPr>
              <w:t>Розроблення та затвердження організаційно-розпорядчого документа, що визначатиме форми заохочення, організаційні засади функціонування механізму заохочення осіб, які  повідомляють про можливі факти корупційних або пов’язаних з корупцією правопорушень, інших порушень Закону України "Про запобігання корупції".</w:t>
            </w:r>
          </w:p>
          <w:p>
            <w:pPr>
              <w:tabs>
                <w:tab w:val="left" w:pos="285"/>
              </w:tabs>
              <w:spacing w:after="0" w:line="228" w:lineRule="auto"/>
              <w:rPr>
                <w:rFonts w:ascii="Times New Roman" w:hAnsi="Times New Roman" w:eastAsia="Times New Roman"/>
                <w:sz w:val="16"/>
              </w:rPr>
            </w:pPr>
          </w:p>
          <w:p>
            <w:pPr>
              <w:numPr>
                <w:ilvl w:val="0"/>
                <w:numId w:val="22"/>
              </w:numPr>
              <w:tabs>
                <w:tab w:val="left" w:pos="285"/>
              </w:tabs>
              <w:spacing w:after="0" w:line="228" w:lineRule="auto"/>
              <w:ind w:left="0" w:firstLine="0"/>
              <w:rPr>
                <w:rFonts w:ascii="Times New Roman" w:hAnsi="Times New Roman" w:eastAsia="Times New Roman"/>
              </w:rPr>
            </w:pPr>
            <w:r>
              <w:rPr>
                <w:rFonts w:ascii="Times New Roman" w:hAnsi="Times New Roman" w:eastAsia="Times New Roman"/>
              </w:rPr>
              <w:t>Розроблення пам’яток щодо етичної поведінки в Комісії; правового статусу, прав та гарантій захисту викривача; порядку отримання викривачем безоплатної вторинної правової допомоги; розгляду повідомлень та ознайомлення з її змістом усіх працівників Секретаріату Комісії</w:t>
            </w:r>
          </w:p>
        </w:tc>
        <w:tc>
          <w:tcPr>
            <w:tcW w:w="2422" w:type="dxa"/>
            <w:noWrap w:val="0"/>
            <w:vAlign w:val="top"/>
          </w:tcPr>
          <w:p>
            <w:pPr>
              <w:spacing w:after="0" w:line="228" w:lineRule="auto"/>
              <w:rPr>
                <w:rFonts w:ascii="Times New Roman" w:hAnsi="Times New Roman" w:eastAsia="Times New Roman"/>
              </w:rPr>
            </w:pPr>
            <w:r>
              <w:rPr>
                <w:rFonts w:ascii="Times New Roman" w:hAnsi="Times New Roman" w:eastAsia="Times New Roman"/>
              </w:rPr>
              <w:t>Сектор з питань запобігання та виявлення корупції Секретаріату Комісії.</w:t>
            </w:r>
          </w:p>
          <w:p>
            <w:pPr>
              <w:spacing w:after="0" w:line="228" w:lineRule="auto"/>
              <w:rPr>
                <w:rFonts w:ascii="Times New Roman" w:hAnsi="Times New Roman" w:eastAsia="Times New Roman"/>
              </w:rPr>
            </w:pPr>
          </w:p>
          <w:p>
            <w:pPr>
              <w:spacing w:after="0" w:line="228" w:lineRule="auto"/>
              <w:rPr>
                <w:rFonts w:ascii="Times New Roman" w:hAnsi="Times New Roman" w:eastAsia="Times New Roman"/>
              </w:rPr>
            </w:pPr>
          </w:p>
          <w:p>
            <w:pPr>
              <w:spacing w:after="0" w:line="228" w:lineRule="auto"/>
              <w:rPr>
                <w:rFonts w:ascii="Times New Roman" w:hAnsi="Times New Roman" w:eastAsia="Times New Roman"/>
              </w:rPr>
            </w:pPr>
          </w:p>
          <w:p>
            <w:pPr>
              <w:spacing w:after="0" w:line="228" w:lineRule="auto"/>
              <w:rPr>
                <w:rFonts w:ascii="Times New Roman" w:hAnsi="Times New Roman" w:eastAsia="Times New Roman"/>
              </w:rPr>
            </w:pPr>
          </w:p>
          <w:p>
            <w:pPr>
              <w:spacing w:after="0" w:line="228" w:lineRule="auto"/>
              <w:rPr>
                <w:rFonts w:ascii="Times New Roman" w:hAnsi="Times New Roman" w:eastAsia="Times New Roman"/>
              </w:rPr>
            </w:pPr>
          </w:p>
          <w:p>
            <w:pPr>
              <w:spacing w:after="0" w:line="228" w:lineRule="auto"/>
              <w:rPr>
                <w:rFonts w:ascii="Times New Roman" w:hAnsi="Times New Roman" w:eastAsia="Times New Roman"/>
              </w:rPr>
            </w:pPr>
          </w:p>
          <w:p>
            <w:pPr>
              <w:spacing w:after="0" w:line="228" w:lineRule="auto"/>
              <w:rPr>
                <w:rFonts w:ascii="Times New Roman" w:hAnsi="Times New Roman" w:eastAsia="Times New Roman"/>
              </w:rPr>
            </w:pPr>
          </w:p>
          <w:p>
            <w:pPr>
              <w:spacing w:after="0" w:line="228" w:lineRule="auto"/>
              <w:rPr>
                <w:rFonts w:ascii="Times New Roman" w:hAnsi="Times New Roman" w:eastAsia="Times New Roman"/>
              </w:rPr>
            </w:pPr>
          </w:p>
          <w:p>
            <w:pPr>
              <w:spacing w:after="0" w:line="228" w:lineRule="auto"/>
              <w:rPr>
                <w:rFonts w:ascii="Times New Roman" w:hAnsi="Times New Roman" w:eastAsia="Times New Roman"/>
              </w:rPr>
            </w:pPr>
          </w:p>
          <w:p>
            <w:pPr>
              <w:spacing w:after="0" w:line="228" w:lineRule="auto"/>
              <w:rPr>
                <w:rFonts w:ascii="Times New Roman" w:hAnsi="Times New Roman" w:eastAsia="Times New Roman"/>
                <w:sz w:val="16"/>
              </w:rPr>
            </w:pPr>
          </w:p>
          <w:p>
            <w:pPr>
              <w:spacing w:after="0" w:line="228" w:lineRule="auto"/>
              <w:rPr>
                <w:rFonts w:ascii="Times New Roman" w:hAnsi="Times New Roman" w:eastAsia="Times New Roman"/>
              </w:rPr>
            </w:pPr>
            <w:r>
              <w:rPr>
                <w:rFonts w:ascii="Times New Roman" w:hAnsi="Times New Roman" w:eastAsia="Times New Roman"/>
              </w:rPr>
              <w:t>Сектор з питань запобігання та виявлення корупції, управління персоналу Секретаріату Комісії</w:t>
            </w:r>
          </w:p>
        </w:tc>
        <w:tc>
          <w:tcPr>
            <w:tcW w:w="1693" w:type="dxa"/>
            <w:noWrap w:val="0"/>
            <w:vAlign w:val="top"/>
          </w:tcPr>
          <w:p>
            <w:pPr>
              <w:spacing w:after="0" w:line="228" w:lineRule="auto"/>
              <w:rPr>
                <w:rFonts w:ascii="Times New Roman" w:hAnsi="Times New Roman" w:eastAsia="Times New Roman"/>
                <w:color w:val="000000"/>
              </w:rPr>
            </w:pPr>
            <w:r>
              <w:rPr>
                <w:rFonts w:ascii="Times New Roman" w:hAnsi="Times New Roman" w:eastAsia="Times New Roman"/>
                <w:color w:val="000000"/>
              </w:rPr>
              <w:t xml:space="preserve">Квітень </w:t>
            </w:r>
            <w:r>
              <w:rPr>
                <w:rFonts w:ascii="Times New Roman" w:hAnsi="Times New Roman" w:eastAsia="Times New Roman"/>
                <w:color w:val="000000"/>
              </w:rPr>
              <w:br w:type="textWrapping"/>
            </w:r>
            <w:r>
              <w:rPr>
                <w:rFonts w:ascii="Times New Roman" w:hAnsi="Times New Roman" w:eastAsia="Times New Roman"/>
                <w:color w:val="000000"/>
              </w:rPr>
              <w:t>2022 року.</w:t>
            </w:r>
          </w:p>
          <w:p>
            <w:pPr>
              <w:spacing w:after="0" w:line="228" w:lineRule="auto"/>
              <w:rPr>
                <w:rFonts w:ascii="Times New Roman" w:hAnsi="Times New Roman" w:eastAsia="Times New Roman"/>
                <w:color w:val="000000"/>
              </w:rPr>
            </w:pPr>
          </w:p>
          <w:p>
            <w:pPr>
              <w:spacing w:after="0" w:line="228" w:lineRule="auto"/>
              <w:rPr>
                <w:rFonts w:ascii="Times New Roman" w:hAnsi="Times New Roman" w:eastAsia="Times New Roman"/>
                <w:color w:val="000000"/>
              </w:rPr>
            </w:pPr>
          </w:p>
          <w:p>
            <w:pPr>
              <w:spacing w:after="0" w:line="228" w:lineRule="auto"/>
              <w:rPr>
                <w:rFonts w:ascii="Times New Roman" w:hAnsi="Times New Roman" w:eastAsia="Times New Roman"/>
                <w:color w:val="000000"/>
              </w:rPr>
            </w:pPr>
          </w:p>
          <w:p>
            <w:pPr>
              <w:spacing w:after="0" w:line="228" w:lineRule="auto"/>
              <w:rPr>
                <w:rFonts w:ascii="Times New Roman" w:hAnsi="Times New Roman" w:eastAsia="Times New Roman"/>
                <w:color w:val="000000"/>
              </w:rPr>
            </w:pPr>
          </w:p>
          <w:p>
            <w:pPr>
              <w:spacing w:after="0" w:line="228" w:lineRule="auto"/>
              <w:rPr>
                <w:rFonts w:ascii="Times New Roman" w:hAnsi="Times New Roman" w:eastAsia="Times New Roman"/>
                <w:color w:val="000000"/>
              </w:rPr>
            </w:pPr>
          </w:p>
          <w:p>
            <w:pPr>
              <w:spacing w:after="0" w:line="228" w:lineRule="auto"/>
              <w:rPr>
                <w:rFonts w:ascii="Times New Roman" w:hAnsi="Times New Roman" w:eastAsia="Times New Roman"/>
                <w:color w:val="000000"/>
              </w:rPr>
            </w:pPr>
          </w:p>
          <w:p>
            <w:pPr>
              <w:spacing w:after="0" w:line="228" w:lineRule="auto"/>
              <w:rPr>
                <w:rFonts w:ascii="Times New Roman" w:hAnsi="Times New Roman" w:eastAsia="Times New Roman"/>
                <w:color w:val="000000"/>
              </w:rPr>
            </w:pPr>
          </w:p>
          <w:p>
            <w:pPr>
              <w:spacing w:after="0" w:line="228" w:lineRule="auto"/>
              <w:rPr>
                <w:rFonts w:ascii="Times New Roman" w:hAnsi="Times New Roman" w:eastAsia="Times New Roman"/>
                <w:color w:val="000000"/>
              </w:rPr>
            </w:pPr>
          </w:p>
          <w:p>
            <w:pPr>
              <w:spacing w:after="0" w:line="228" w:lineRule="auto"/>
              <w:rPr>
                <w:rFonts w:ascii="Times New Roman" w:hAnsi="Times New Roman" w:eastAsia="Times New Roman"/>
                <w:color w:val="000000"/>
              </w:rPr>
            </w:pPr>
          </w:p>
          <w:p>
            <w:pPr>
              <w:spacing w:after="0" w:line="228" w:lineRule="auto"/>
              <w:rPr>
                <w:rFonts w:ascii="Times New Roman" w:hAnsi="Times New Roman" w:eastAsia="Times New Roman"/>
                <w:color w:val="000000"/>
              </w:rPr>
            </w:pPr>
          </w:p>
          <w:p>
            <w:pPr>
              <w:spacing w:after="0" w:line="228" w:lineRule="auto"/>
              <w:rPr>
                <w:rFonts w:ascii="Times New Roman" w:hAnsi="Times New Roman" w:eastAsia="Times New Roman"/>
                <w:color w:val="000000"/>
              </w:rPr>
            </w:pPr>
          </w:p>
          <w:p>
            <w:pPr>
              <w:spacing w:after="0" w:line="228" w:lineRule="auto"/>
              <w:rPr>
                <w:rFonts w:ascii="Times New Roman" w:hAnsi="Times New Roman" w:eastAsia="Times New Roman"/>
                <w:color w:val="000000"/>
                <w:sz w:val="16"/>
              </w:rPr>
            </w:pPr>
          </w:p>
          <w:p>
            <w:pPr>
              <w:spacing w:after="0" w:line="228" w:lineRule="auto"/>
              <w:rPr>
                <w:rFonts w:ascii="Times New Roman" w:hAnsi="Times New Roman" w:eastAsia="Times New Roman"/>
                <w:color w:val="000000"/>
              </w:rPr>
            </w:pPr>
            <w:r>
              <w:rPr>
                <w:rFonts w:ascii="Times New Roman" w:hAnsi="Times New Roman" w:eastAsia="Times New Roman"/>
                <w:color w:val="000000"/>
              </w:rPr>
              <w:t xml:space="preserve">Березень </w:t>
            </w:r>
            <w:r>
              <w:rPr>
                <w:rFonts w:ascii="Times New Roman" w:hAnsi="Times New Roman" w:eastAsia="Times New Roman"/>
                <w:color w:val="000000"/>
              </w:rPr>
              <w:br w:type="textWrapping"/>
            </w:r>
            <w:r>
              <w:rPr>
                <w:rFonts w:ascii="Times New Roman" w:hAnsi="Times New Roman" w:eastAsia="Times New Roman"/>
                <w:color w:val="000000"/>
              </w:rPr>
              <w:t xml:space="preserve">2022 року (надалі – під час прийняття на роботу в Комісію) </w:t>
            </w:r>
          </w:p>
        </w:tc>
        <w:tc>
          <w:tcPr>
            <w:tcW w:w="1450" w:type="dxa"/>
            <w:noWrap w:val="0"/>
            <w:vAlign w:val="top"/>
          </w:tcPr>
          <w:p>
            <w:pPr>
              <w:spacing w:after="0" w:line="228" w:lineRule="auto"/>
              <w:rPr>
                <w:rFonts w:ascii="Times New Roman" w:hAnsi="Times New Roman" w:eastAsia="Times New Roman"/>
                <w:color w:val="000000"/>
              </w:rPr>
            </w:pPr>
            <w:r>
              <w:rPr>
                <w:rFonts w:ascii="Times New Roman" w:hAnsi="Times New Roman" w:eastAsia="Times New Roman"/>
                <w:color w:val="000000"/>
              </w:rPr>
              <w:t>Не потребує додаткових ресурсів</w:t>
            </w:r>
          </w:p>
          <w:p>
            <w:pPr>
              <w:spacing w:after="0" w:line="228" w:lineRule="auto"/>
              <w:rPr>
                <w:rFonts w:ascii="Times New Roman" w:hAnsi="Times New Roman" w:eastAsia="Times New Roman"/>
                <w:color w:val="000000"/>
              </w:rPr>
            </w:pPr>
          </w:p>
        </w:tc>
        <w:tc>
          <w:tcPr>
            <w:tcW w:w="2178" w:type="dxa"/>
            <w:noWrap w:val="0"/>
            <w:vAlign w:val="top"/>
          </w:tcPr>
          <w:p>
            <w:pPr>
              <w:spacing w:after="0" w:line="221" w:lineRule="auto"/>
              <w:rPr>
                <w:rFonts w:ascii="Times New Roman" w:hAnsi="Times New Roman" w:eastAsia="Times New Roman"/>
                <w:color w:val="000000"/>
                <w:spacing w:val="-4"/>
              </w:rPr>
            </w:pPr>
            <w:r>
              <w:rPr>
                <w:rFonts w:ascii="Times New Roman" w:hAnsi="Times New Roman" w:eastAsia="Times New Roman"/>
                <w:color w:val="000000"/>
                <w:spacing w:val="-4"/>
              </w:rPr>
              <w:t xml:space="preserve">Розроблено та затверджено </w:t>
            </w:r>
            <w:r>
              <w:rPr>
                <w:rFonts w:ascii="Times New Roman" w:hAnsi="Times New Roman" w:eastAsia="Times New Roman"/>
                <w:spacing w:val="-4"/>
              </w:rPr>
              <w:t>організаційно-розпорядчий документ, що визначатиме форми заохочення, організаційні засади функціонування механізму заохочення осіб, які  повідомляють про можливі факти корупційних або пов’язаних з корупцією правопорушень, інших порушень Закону України "Про запобігання корупції". Розроблено пам’ятки та ознайомлено працівників Секретаріату Комісії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591" w:type="dxa"/>
            <w:noWrap w:val="0"/>
            <w:vAlign w:val="top"/>
          </w:tcPr>
          <w:p>
            <w:pPr>
              <w:numPr>
                <w:ilvl w:val="0"/>
                <w:numId w:val="3"/>
              </w:numPr>
              <w:spacing w:after="0" w:line="240" w:lineRule="auto"/>
              <w:ind w:left="0" w:firstLine="0"/>
              <w:jc w:val="center"/>
              <w:rPr>
                <w:rFonts w:ascii="Times New Roman" w:hAnsi="Times New Roman" w:eastAsia="Times New Roman"/>
              </w:rPr>
            </w:pPr>
          </w:p>
        </w:tc>
        <w:tc>
          <w:tcPr>
            <w:tcW w:w="2552" w:type="dxa"/>
            <w:noWrap w:val="0"/>
            <w:vAlign w:val="top"/>
          </w:tcPr>
          <w:p>
            <w:pPr>
              <w:spacing w:after="0" w:line="240" w:lineRule="auto"/>
              <w:rPr>
                <w:rFonts w:ascii="Times New Roman" w:hAnsi="Times New Roman" w:eastAsia="Times New Roman"/>
              </w:rPr>
            </w:pPr>
            <w:r>
              <w:rPr>
                <w:rFonts w:ascii="Times New Roman" w:hAnsi="Times New Roman" w:eastAsia="Times New Roman"/>
              </w:rPr>
              <w:t>Можливість виникнення конфлікту інтересів під час виконання своїх службових повноважень, неповідомлення безпосереднього керівника, прийняття рішень в умовах конфлікту інтересів</w:t>
            </w:r>
          </w:p>
        </w:tc>
        <w:tc>
          <w:tcPr>
            <w:tcW w:w="1250" w:type="dxa"/>
            <w:noWrap w:val="0"/>
            <w:vAlign w:val="top"/>
          </w:tcPr>
          <w:p>
            <w:pPr>
              <w:spacing w:after="0" w:line="240" w:lineRule="auto"/>
              <w:rPr>
                <w:rFonts w:ascii="Times New Roman" w:hAnsi="Times New Roman" w:eastAsia="Times New Roman"/>
              </w:rPr>
            </w:pPr>
            <w:r>
              <w:rPr>
                <w:rFonts w:ascii="Times New Roman" w:hAnsi="Times New Roman" w:eastAsia="Times New Roman"/>
              </w:rPr>
              <w:t>Середня</w:t>
            </w:r>
          </w:p>
        </w:tc>
        <w:tc>
          <w:tcPr>
            <w:tcW w:w="3050" w:type="dxa"/>
            <w:noWrap w:val="0"/>
            <w:vAlign w:val="top"/>
          </w:tcPr>
          <w:p>
            <w:pPr>
              <w:numPr>
                <w:ilvl w:val="0"/>
                <w:numId w:val="23"/>
              </w:numPr>
              <w:tabs>
                <w:tab w:val="left" w:pos="285"/>
              </w:tabs>
              <w:spacing w:after="0" w:line="240" w:lineRule="auto"/>
              <w:ind w:left="0" w:firstLine="0"/>
              <w:rPr>
                <w:rFonts w:ascii="Times New Roman" w:hAnsi="Times New Roman"/>
              </w:rPr>
            </w:pPr>
            <w:r>
              <w:rPr>
                <w:rFonts w:ascii="Times New Roman" w:hAnsi="Times New Roman"/>
              </w:rPr>
              <w:t>Аналіз інформації про близьких осіб, що працюють у Комісії, підготовка відповідних пропозицій Голові Комісії та керівнику Секретаріату Комісії.</w:t>
            </w:r>
          </w:p>
          <w:p>
            <w:pPr>
              <w:tabs>
                <w:tab w:val="left" w:pos="285"/>
              </w:tabs>
              <w:spacing w:after="0" w:line="240" w:lineRule="auto"/>
              <w:rPr>
                <w:rFonts w:ascii="Times New Roman" w:hAnsi="Times New Roman"/>
              </w:rPr>
            </w:pPr>
          </w:p>
          <w:p>
            <w:pPr>
              <w:numPr>
                <w:ilvl w:val="0"/>
                <w:numId w:val="23"/>
              </w:numPr>
              <w:tabs>
                <w:tab w:val="left" w:pos="285"/>
              </w:tabs>
              <w:spacing w:after="0" w:line="240" w:lineRule="auto"/>
              <w:ind w:left="0" w:firstLine="0"/>
              <w:rPr>
                <w:rFonts w:ascii="Times New Roman" w:hAnsi="Times New Roman"/>
              </w:rPr>
            </w:pPr>
            <w:r>
              <w:rPr>
                <w:rFonts w:ascii="Times New Roman" w:hAnsi="Times New Roman"/>
              </w:rPr>
              <w:t>Розроблення та впровадження механізму повідомлення працівників Секретаріату Комісії а також осіб, які стали переможцями конкурсів чи призначаються в порядку переведення, про близьких осіб, які працюють у Комісії.</w:t>
            </w:r>
          </w:p>
          <w:p>
            <w:pPr>
              <w:tabs>
                <w:tab w:val="left" w:pos="285"/>
              </w:tabs>
              <w:spacing w:after="0" w:line="240" w:lineRule="auto"/>
              <w:rPr>
                <w:rFonts w:ascii="Times New Roman" w:hAnsi="Times New Roman"/>
              </w:rPr>
            </w:pPr>
          </w:p>
          <w:p>
            <w:pPr>
              <w:numPr>
                <w:ilvl w:val="0"/>
                <w:numId w:val="23"/>
              </w:numPr>
              <w:tabs>
                <w:tab w:val="left" w:pos="285"/>
              </w:tabs>
              <w:spacing w:after="0" w:line="240" w:lineRule="auto"/>
              <w:ind w:left="0" w:firstLine="0"/>
              <w:rPr>
                <w:rFonts w:ascii="Times New Roman" w:hAnsi="Times New Roman"/>
              </w:rPr>
            </w:pPr>
            <w:r>
              <w:rPr>
                <w:rFonts w:ascii="Times New Roman" w:hAnsi="Times New Roman"/>
              </w:rPr>
              <w:t>Візування сектором з питань запобігання та виявлення корупції Секретаріату Комісії проєктів організаційно-розпорядчих документів про покладення обов’язків тимчасово відсутнього працівника Секретаріату Комісії на іншу особу,  аналіз можливості настання обставин виникнення конфлікту інтересів  у зв’язку з таким покладенням обов’язків.</w:t>
            </w:r>
          </w:p>
          <w:p>
            <w:pPr>
              <w:tabs>
                <w:tab w:val="left" w:pos="285"/>
              </w:tabs>
              <w:spacing w:after="0" w:line="240" w:lineRule="auto"/>
              <w:rPr>
                <w:rFonts w:ascii="Times New Roman" w:hAnsi="Times New Roman" w:eastAsia="Times New Roman"/>
                <w:strike/>
              </w:rPr>
            </w:pPr>
          </w:p>
          <w:p>
            <w:pPr>
              <w:tabs>
                <w:tab w:val="left" w:pos="285"/>
              </w:tabs>
              <w:spacing w:after="0" w:line="240" w:lineRule="auto"/>
              <w:rPr>
                <w:rFonts w:ascii="Times New Roman" w:hAnsi="Times New Roman" w:eastAsia="Times New Roman"/>
                <w:strike/>
              </w:rPr>
            </w:pPr>
          </w:p>
          <w:p>
            <w:pPr>
              <w:tabs>
                <w:tab w:val="left" w:pos="285"/>
              </w:tabs>
              <w:spacing w:after="0" w:line="240" w:lineRule="auto"/>
              <w:rPr>
                <w:rFonts w:ascii="Times New Roman" w:hAnsi="Times New Roman" w:eastAsia="Times New Roman"/>
                <w:strike/>
              </w:rPr>
            </w:pPr>
          </w:p>
          <w:p>
            <w:pPr>
              <w:tabs>
                <w:tab w:val="left" w:pos="285"/>
              </w:tabs>
              <w:spacing w:after="0" w:line="240" w:lineRule="auto"/>
              <w:rPr>
                <w:rFonts w:ascii="Times New Roman" w:hAnsi="Times New Roman" w:eastAsia="Times New Roman"/>
                <w:strike/>
              </w:rPr>
            </w:pPr>
          </w:p>
          <w:p>
            <w:pPr>
              <w:tabs>
                <w:tab w:val="left" w:pos="285"/>
              </w:tabs>
              <w:spacing w:after="0" w:line="240" w:lineRule="auto"/>
              <w:rPr>
                <w:rFonts w:ascii="Times New Roman" w:hAnsi="Times New Roman" w:eastAsia="Times New Roman"/>
                <w:strike/>
              </w:rPr>
            </w:pPr>
          </w:p>
          <w:p>
            <w:pPr>
              <w:numPr>
                <w:ilvl w:val="0"/>
                <w:numId w:val="23"/>
              </w:numPr>
              <w:tabs>
                <w:tab w:val="left" w:pos="285"/>
              </w:tabs>
              <w:spacing w:after="0" w:line="240" w:lineRule="auto"/>
              <w:ind w:left="0" w:firstLine="0"/>
              <w:rPr>
                <w:rFonts w:ascii="Times New Roman" w:hAnsi="Times New Roman"/>
              </w:rPr>
            </w:pPr>
            <w:r>
              <w:rPr>
                <w:rFonts w:ascii="Times New Roman" w:hAnsi="Times New Roman"/>
              </w:rPr>
              <w:t>Розроблення організаційно-розпорядчого документа щодо порядку повідомлення про наявність реального чи потенційного конфлікту інтересів членами Комісії, конкурсної комісії, дисциплінарної комісії</w:t>
            </w:r>
          </w:p>
        </w:tc>
        <w:tc>
          <w:tcPr>
            <w:tcW w:w="2422" w:type="dxa"/>
            <w:noWrap w:val="0"/>
            <w:vAlign w:val="top"/>
          </w:tcPr>
          <w:p>
            <w:pPr>
              <w:spacing w:after="0" w:line="240" w:lineRule="auto"/>
              <w:rPr>
                <w:rFonts w:ascii="Times New Roman" w:hAnsi="Times New Roman" w:eastAsia="Times New Roman"/>
              </w:rPr>
            </w:pPr>
            <w:r>
              <w:rPr>
                <w:rFonts w:ascii="Times New Roman" w:hAnsi="Times New Roman" w:eastAsia="Times New Roman"/>
                <w:lang w:eastAsia="ru-RU"/>
              </w:rPr>
              <w:t>Управління персоналу</w:t>
            </w:r>
            <w:r>
              <w:rPr>
                <w:rFonts w:ascii="Times New Roman" w:hAnsi="Times New Roman" w:eastAsia="Times New Roman"/>
              </w:rPr>
              <w:t>,</w:t>
            </w:r>
            <w:r>
              <w:rPr>
                <w:rFonts w:ascii="Times New Roman" w:hAnsi="Times New Roman" w:eastAsia="Times New Roman"/>
                <w:lang w:eastAsia="ru-RU"/>
              </w:rPr>
              <w:t xml:space="preserve"> сектор з питань запобігання та виявлення корупції </w:t>
            </w:r>
            <w:r>
              <w:rPr>
                <w:rFonts w:ascii="Times New Roman" w:hAnsi="Times New Roman" w:eastAsia="Times New Roman"/>
              </w:rPr>
              <w:t>Секретаріату Комісії.</w:t>
            </w:r>
          </w:p>
          <w:p>
            <w:pPr>
              <w:spacing w:after="0" w:line="240" w:lineRule="auto"/>
              <w:rPr>
                <w:rFonts w:ascii="Times New Roman" w:hAnsi="Times New Roman" w:eastAsia="Times New Roman"/>
              </w:rPr>
            </w:pPr>
          </w:p>
          <w:p>
            <w:pPr>
              <w:spacing w:after="0" w:line="240" w:lineRule="auto"/>
              <w:rPr>
                <w:rFonts w:ascii="Times New Roman" w:hAnsi="Times New Roman" w:eastAsia="Times New Roman"/>
                <w:lang w:eastAsia="ru-RU"/>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rPr>
            </w:pPr>
          </w:p>
          <w:p>
            <w:pPr>
              <w:spacing w:after="0" w:line="240" w:lineRule="auto"/>
              <w:rPr>
                <w:rFonts w:ascii="Times New Roman" w:hAnsi="Times New Roman" w:eastAsia="Times New Roman"/>
                <w:lang w:eastAsia="ru-RU"/>
              </w:rPr>
            </w:pPr>
          </w:p>
          <w:p>
            <w:pPr>
              <w:spacing w:after="0" w:line="240" w:lineRule="auto"/>
              <w:rPr>
                <w:rFonts w:ascii="Times New Roman" w:hAnsi="Times New Roman" w:eastAsia="Times New Roman"/>
                <w:lang w:eastAsia="ru-RU"/>
              </w:rPr>
            </w:pPr>
          </w:p>
          <w:p>
            <w:pPr>
              <w:spacing w:after="0" w:line="240" w:lineRule="auto"/>
              <w:rPr>
                <w:rFonts w:ascii="Times New Roman" w:hAnsi="Times New Roman" w:eastAsia="Times New Roman"/>
                <w:lang w:eastAsia="ru-RU"/>
              </w:rPr>
            </w:pPr>
          </w:p>
          <w:p>
            <w:pPr>
              <w:spacing w:after="0" w:line="240" w:lineRule="auto"/>
              <w:rPr>
                <w:rFonts w:ascii="Times New Roman" w:hAnsi="Times New Roman" w:eastAsia="Times New Roman"/>
                <w:lang w:eastAsia="ru-RU"/>
              </w:rPr>
            </w:pPr>
          </w:p>
          <w:p>
            <w:pPr>
              <w:spacing w:after="0" w:line="240" w:lineRule="auto"/>
              <w:rPr>
                <w:rFonts w:ascii="Times New Roman" w:hAnsi="Times New Roman" w:eastAsia="Times New Roman"/>
                <w:lang w:eastAsia="ru-RU"/>
              </w:rPr>
            </w:pPr>
          </w:p>
          <w:p>
            <w:pPr>
              <w:spacing w:after="0" w:line="240" w:lineRule="auto"/>
              <w:rPr>
                <w:rFonts w:ascii="Times New Roman" w:hAnsi="Times New Roman" w:eastAsia="Times New Roman"/>
                <w:lang w:eastAsia="ru-RU"/>
              </w:rPr>
            </w:pPr>
          </w:p>
          <w:p>
            <w:pPr>
              <w:spacing w:after="0" w:line="240" w:lineRule="auto"/>
              <w:rPr>
                <w:rFonts w:ascii="Times New Roman" w:hAnsi="Times New Roman" w:eastAsia="Times New Roman"/>
                <w:lang w:eastAsia="ru-RU"/>
              </w:rPr>
            </w:pPr>
          </w:p>
          <w:p>
            <w:pPr>
              <w:spacing w:after="0" w:line="240" w:lineRule="auto"/>
              <w:rPr>
                <w:rFonts w:ascii="Times New Roman" w:hAnsi="Times New Roman" w:eastAsia="Times New Roman"/>
                <w:lang w:eastAsia="ru-RU"/>
              </w:rPr>
            </w:pPr>
          </w:p>
          <w:p>
            <w:pPr>
              <w:spacing w:after="0" w:line="240" w:lineRule="auto"/>
              <w:rPr>
                <w:rFonts w:ascii="Times New Roman" w:hAnsi="Times New Roman" w:eastAsia="Times New Roman"/>
                <w:lang w:eastAsia="ru-RU"/>
              </w:rPr>
            </w:pPr>
          </w:p>
          <w:p>
            <w:pPr>
              <w:spacing w:after="0" w:line="240" w:lineRule="auto"/>
              <w:rPr>
                <w:rFonts w:ascii="Times New Roman" w:hAnsi="Times New Roman" w:eastAsia="Times New Roman"/>
                <w:lang w:eastAsia="ru-RU"/>
              </w:rPr>
            </w:pPr>
          </w:p>
          <w:p>
            <w:pPr>
              <w:spacing w:after="0" w:line="240" w:lineRule="auto"/>
              <w:rPr>
                <w:rFonts w:ascii="Times New Roman" w:hAnsi="Times New Roman" w:eastAsia="Times New Roman"/>
                <w:lang w:eastAsia="ru-RU"/>
              </w:rPr>
            </w:pPr>
          </w:p>
          <w:p>
            <w:pPr>
              <w:spacing w:after="0" w:line="240" w:lineRule="auto"/>
              <w:rPr>
                <w:rFonts w:ascii="Times New Roman" w:hAnsi="Times New Roman" w:eastAsia="Times New Roman"/>
                <w:lang w:eastAsia="ru-RU"/>
              </w:rPr>
            </w:pPr>
          </w:p>
          <w:p>
            <w:pPr>
              <w:spacing w:after="0" w:line="240" w:lineRule="auto"/>
              <w:rPr>
                <w:rFonts w:ascii="Times New Roman" w:hAnsi="Times New Roman" w:eastAsia="Times New Roman"/>
                <w:lang w:eastAsia="ru-RU"/>
              </w:rPr>
            </w:pPr>
          </w:p>
          <w:p>
            <w:pPr>
              <w:spacing w:after="0" w:line="240" w:lineRule="auto"/>
              <w:rPr>
                <w:rFonts w:ascii="Times New Roman" w:hAnsi="Times New Roman" w:eastAsia="Times New Roman"/>
                <w:lang w:eastAsia="ru-RU"/>
              </w:rPr>
            </w:pPr>
          </w:p>
          <w:p>
            <w:pPr>
              <w:spacing w:after="0" w:line="240" w:lineRule="auto"/>
              <w:rPr>
                <w:rFonts w:ascii="Times New Roman" w:hAnsi="Times New Roman" w:eastAsia="Times New Roman"/>
              </w:rPr>
            </w:pPr>
            <w:r>
              <w:rPr>
                <w:rFonts w:ascii="Times New Roman" w:hAnsi="Times New Roman" w:eastAsia="Times New Roman"/>
                <w:lang w:eastAsia="ru-RU"/>
              </w:rPr>
              <w:t xml:space="preserve">Сектор з питань запобігання та виявлення корупції </w:t>
            </w:r>
            <w:r>
              <w:rPr>
                <w:rFonts w:ascii="Times New Roman" w:hAnsi="Times New Roman" w:eastAsia="Times New Roman"/>
              </w:rPr>
              <w:t>Секретаріату Комісії</w:t>
            </w:r>
          </w:p>
          <w:p>
            <w:pPr>
              <w:rPr>
                <w:rFonts w:ascii="Times New Roman" w:hAnsi="Times New Roman" w:eastAsia="Times New Roman"/>
              </w:rPr>
            </w:pPr>
          </w:p>
        </w:tc>
        <w:tc>
          <w:tcPr>
            <w:tcW w:w="1693"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Під час підготовки проєктів наказів про покладення обов’язків.</w:t>
            </w: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r>
              <w:rPr>
                <w:rFonts w:ascii="Times New Roman" w:hAnsi="Times New Roman" w:eastAsia="Times New Roman"/>
                <w:color w:val="000000"/>
              </w:rPr>
              <w:t xml:space="preserve">Жовтень </w:t>
            </w:r>
            <w:r>
              <w:rPr>
                <w:rFonts w:ascii="Times New Roman" w:hAnsi="Times New Roman" w:eastAsia="Times New Roman"/>
                <w:color w:val="000000"/>
              </w:rPr>
              <w:br w:type="textWrapping"/>
            </w:r>
            <w:r>
              <w:rPr>
                <w:rFonts w:ascii="Times New Roman" w:hAnsi="Times New Roman" w:eastAsia="Times New Roman"/>
                <w:color w:val="000000"/>
              </w:rPr>
              <w:t>2021 року.</w:t>
            </w: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spacing w:val="-10"/>
              </w:rPr>
            </w:pPr>
            <w:r>
              <w:rPr>
                <w:rFonts w:ascii="Times New Roman" w:hAnsi="Times New Roman" w:eastAsia="Times New Roman"/>
                <w:color w:val="000000"/>
              </w:rPr>
              <w:t xml:space="preserve">Протягом </w:t>
            </w:r>
            <w:r>
              <w:rPr>
                <w:rFonts w:ascii="Times New Roman" w:hAnsi="Times New Roman" w:eastAsia="Times New Roman"/>
                <w:color w:val="000000"/>
              </w:rPr>
              <w:br w:type="textWrapping"/>
            </w:r>
            <w:r>
              <w:rPr>
                <w:rFonts w:ascii="Times New Roman" w:hAnsi="Times New Roman" w:eastAsia="Times New Roman"/>
                <w:color w:val="000000"/>
                <w:spacing w:val="-10"/>
              </w:rPr>
              <w:t>2021 – 2023 років.</w:t>
            </w: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r>
              <w:rPr>
                <w:rFonts w:ascii="Times New Roman" w:hAnsi="Times New Roman" w:eastAsia="Times New Roman"/>
                <w:color w:val="000000"/>
              </w:rPr>
              <w:t xml:space="preserve">Грудень </w:t>
            </w:r>
            <w:r>
              <w:rPr>
                <w:rFonts w:ascii="Times New Roman" w:hAnsi="Times New Roman" w:eastAsia="Times New Roman"/>
                <w:color w:val="000000"/>
              </w:rPr>
              <w:br w:type="textWrapping"/>
            </w:r>
            <w:r>
              <w:rPr>
                <w:rFonts w:ascii="Times New Roman" w:hAnsi="Times New Roman" w:eastAsia="Times New Roman"/>
                <w:color w:val="000000"/>
              </w:rPr>
              <w:t>2021 року</w:t>
            </w:r>
          </w:p>
          <w:p>
            <w:pPr>
              <w:spacing w:after="0" w:line="240" w:lineRule="auto"/>
              <w:rPr>
                <w:rFonts w:ascii="Times New Roman" w:hAnsi="Times New Roman" w:eastAsia="Times New Roman"/>
                <w:color w:val="000000"/>
              </w:rPr>
            </w:pPr>
          </w:p>
          <w:p>
            <w:pPr>
              <w:spacing w:after="0" w:line="240" w:lineRule="auto"/>
              <w:rPr>
                <w:rFonts w:ascii="Times New Roman" w:hAnsi="Times New Roman" w:eastAsia="Times New Roman"/>
                <w:color w:val="000000"/>
              </w:rPr>
            </w:pPr>
          </w:p>
        </w:tc>
        <w:tc>
          <w:tcPr>
            <w:tcW w:w="1450"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Не потребує додаткових ресурсів</w:t>
            </w:r>
          </w:p>
          <w:p>
            <w:pPr>
              <w:spacing w:after="0" w:line="240" w:lineRule="auto"/>
              <w:rPr>
                <w:rFonts w:ascii="Times New Roman" w:hAnsi="Times New Roman" w:eastAsia="Times New Roman"/>
                <w:color w:val="000000"/>
              </w:rPr>
            </w:pPr>
          </w:p>
        </w:tc>
        <w:tc>
          <w:tcPr>
            <w:tcW w:w="2178" w:type="dxa"/>
            <w:noWrap w:val="0"/>
            <w:vAlign w:val="top"/>
          </w:tcPr>
          <w:p>
            <w:pPr>
              <w:spacing w:after="0" w:line="240" w:lineRule="auto"/>
              <w:rPr>
                <w:rFonts w:ascii="Times New Roman" w:hAnsi="Times New Roman" w:eastAsia="Times New Roman"/>
                <w:color w:val="000000"/>
              </w:rPr>
            </w:pPr>
            <w:r>
              <w:rPr>
                <w:rFonts w:ascii="Times New Roman" w:hAnsi="Times New Roman" w:eastAsia="Times New Roman"/>
                <w:color w:val="000000"/>
              </w:rPr>
              <w:t xml:space="preserve">Знижено рівень корупційного ризику за рахунок вжиття додаткових заходів щодо запобігання конфлікту інтересів: здійснюється аналіз </w:t>
            </w:r>
            <w:r>
              <w:rPr>
                <w:rFonts w:ascii="Times New Roman" w:hAnsi="Times New Roman" w:eastAsia="Times New Roman"/>
              </w:rPr>
              <w:t xml:space="preserve">інформації про близьких осіб, що працюють у Комісії; </w:t>
            </w:r>
            <w:r>
              <w:rPr>
                <w:rFonts w:ascii="Times New Roman" w:hAnsi="Times New Roman" w:eastAsia="Times New Roman"/>
                <w:color w:val="000000"/>
              </w:rPr>
              <w:t>візування сектором з питань запобігання та виявлення корупції Секретаріату Комісії проєктів організаційно-розпорядчих документів про покладення обов’язків на іншу особу; розроблено порядок повідомлення про наявність реального чи потенційного конфлікту інтересів; впроваджено механізм повідомлення працівників Секретаріату Комісії про близьких осіб, які  працюють у Комісії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591" w:type="dxa"/>
            <w:noWrap w:val="0"/>
            <w:vAlign w:val="top"/>
          </w:tcPr>
          <w:p>
            <w:pPr>
              <w:numPr>
                <w:ilvl w:val="0"/>
                <w:numId w:val="3"/>
              </w:numPr>
              <w:spacing w:after="0" w:line="223" w:lineRule="auto"/>
              <w:ind w:left="0" w:firstLine="0"/>
              <w:jc w:val="center"/>
              <w:rPr>
                <w:rFonts w:ascii="Times New Roman" w:hAnsi="Times New Roman" w:eastAsia="Times New Roman"/>
              </w:rPr>
            </w:pPr>
          </w:p>
        </w:tc>
        <w:tc>
          <w:tcPr>
            <w:tcW w:w="2552" w:type="dxa"/>
            <w:noWrap w:val="0"/>
            <w:vAlign w:val="top"/>
          </w:tcPr>
          <w:p>
            <w:pPr>
              <w:autoSpaceDE w:val="0"/>
              <w:autoSpaceDN w:val="0"/>
              <w:adjustRightInd w:val="0"/>
              <w:spacing w:after="0" w:line="223" w:lineRule="auto"/>
              <w:rPr>
                <w:rFonts w:ascii="Times New Roman" w:hAnsi="Times New Roman"/>
                <w:color w:val="000000"/>
              </w:rPr>
            </w:pPr>
            <w:r>
              <w:rPr>
                <w:rFonts w:ascii="Times New Roman" w:hAnsi="Times New Roman"/>
                <w:color w:val="000000"/>
              </w:rPr>
              <w:t xml:space="preserve">Можливе задоволення приватних інтересів працівниками Секретаріату Комісії під час одержання та передачі дарунків, одержаних як подарунки Комісії </w:t>
            </w:r>
          </w:p>
        </w:tc>
        <w:tc>
          <w:tcPr>
            <w:tcW w:w="1250" w:type="dxa"/>
            <w:noWrap w:val="0"/>
            <w:vAlign w:val="top"/>
          </w:tcPr>
          <w:p>
            <w:pPr>
              <w:spacing w:after="0" w:line="223" w:lineRule="auto"/>
              <w:rPr>
                <w:rFonts w:ascii="Times New Roman" w:hAnsi="Times New Roman" w:eastAsia="Times New Roman"/>
                <w:color w:val="000000"/>
                <w:lang w:eastAsia="uk-UA"/>
              </w:rPr>
            </w:pPr>
            <w:r>
              <w:rPr>
                <w:rFonts w:ascii="Times New Roman" w:hAnsi="Times New Roman" w:eastAsia="Times New Roman"/>
                <w:color w:val="000000"/>
                <w:lang w:eastAsia="uk-UA"/>
              </w:rPr>
              <w:t>Низька</w:t>
            </w:r>
          </w:p>
        </w:tc>
        <w:tc>
          <w:tcPr>
            <w:tcW w:w="3050" w:type="dxa"/>
            <w:noWrap w:val="0"/>
            <w:vAlign w:val="top"/>
          </w:tcPr>
          <w:p>
            <w:pPr>
              <w:numPr>
                <w:ilvl w:val="0"/>
                <w:numId w:val="24"/>
              </w:numPr>
              <w:tabs>
                <w:tab w:val="left" w:pos="285"/>
              </w:tabs>
              <w:spacing w:after="0" w:line="223" w:lineRule="auto"/>
              <w:ind w:left="0" w:firstLine="0"/>
              <w:rPr>
                <w:rFonts w:ascii="Times New Roman" w:hAnsi="Times New Roman"/>
                <w:color w:val="000000"/>
              </w:rPr>
            </w:pPr>
            <w:r>
              <w:rPr>
                <w:rFonts w:ascii="Times New Roman" w:hAnsi="Times New Roman"/>
                <w:color w:val="000000"/>
              </w:rPr>
              <w:t>Розроблення та затвердження організаційно-розпорядчого документа щодо порядку передачі дарунків, одержаних як подарунки Комісії.</w:t>
            </w:r>
          </w:p>
          <w:p>
            <w:pPr>
              <w:tabs>
                <w:tab w:val="left" w:pos="285"/>
              </w:tabs>
              <w:spacing w:after="0" w:line="223" w:lineRule="auto"/>
              <w:rPr>
                <w:rFonts w:ascii="Times New Roman" w:hAnsi="Times New Roman"/>
                <w:color w:val="000000"/>
              </w:rPr>
            </w:pPr>
          </w:p>
          <w:p>
            <w:pPr>
              <w:numPr>
                <w:ilvl w:val="0"/>
                <w:numId w:val="24"/>
              </w:numPr>
              <w:tabs>
                <w:tab w:val="left" w:pos="285"/>
              </w:tabs>
              <w:spacing w:after="0" w:line="223" w:lineRule="auto"/>
              <w:ind w:left="0" w:firstLine="0"/>
              <w:rPr>
                <w:rFonts w:ascii="Times New Roman" w:hAnsi="Times New Roman"/>
                <w:color w:val="000000"/>
              </w:rPr>
            </w:pPr>
            <w:r>
              <w:rPr>
                <w:rFonts w:ascii="Times New Roman" w:hAnsi="Times New Roman"/>
                <w:color w:val="000000"/>
              </w:rPr>
              <w:t>Створення комісії з питань оцінки вартості дарунків, одержаних як подарунки Комісії, вирішення питання щодо можливості їх використання, місця та строку зберігання та затвердження положення про таку комісію.</w:t>
            </w:r>
          </w:p>
          <w:p>
            <w:pPr>
              <w:tabs>
                <w:tab w:val="left" w:pos="285"/>
              </w:tabs>
              <w:spacing w:after="0" w:line="223" w:lineRule="auto"/>
              <w:rPr>
                <w:rFonts w:ascii="Times New Roman" w:hAnsi="Times New Roman"/>
                <w:color w:val="000000"/>
              </w:rPr>
            </w:pPr>
          </w:p>
          <w:p>
            <w:pPr>
              <w:tabs>
                <w:tab w:val="left" w:pos="285"/>
              </w:tabs>
              <w:spacing w:after="0" w:line="223" w:lineRule="auto"/>
              <w:rPr>
                <w:rFonts w:ascii="Times New Roman" w:hAnsi="Times New Roman"/>
                <w:color w:val="000000"/>
                <w:sz w:val="8"/>
              </w:rPr>
            </w:pPr>
          </w:p>
          <w:p>
            <w:pPr>
              <w:numPr>
                <w:ilvl w:val="0"/>
                <w:numId w:val="24"/>
              </w:numPr>
              <w:tabs>
                <w:tab w:val="left" w:pos="285"/>
              </w:tabs>
              <w:spacing w:after="0" w:line="223" w:lineRule="auto"/>
              <w:ind w:left="0" w:firstLine="0"/>
              <w:rPr>
                <w:rFonts w:ascii="Times New Roman" w:hAnsi="Times New Roman"/>
                <w:color w:val="000000"/>
              </w:rPr>
            </w:pPr>
            <w:r>
              <w:rPr>
                <w:rFonts w:ascii="Times New Roman" w:hAnsi="Times New Roman"/>
                <w:color w:val="000000"/>
              </w:rPr>
              <w:t>Підготовка пам’ятки з питань обмежень щодо одержання подарунків, установлених Законом України "Про запобігання корупції"</w:t>
            </w:r>
          </w:p>
          <w:p>
            <w:pPr>
              <w:tabs>
                <w:tab w:val="left" w:pos="285"/>
              </w:tabs>
              <w:spacing w:after="0" w:line="223" w:lineRule="auto"/>
              <w:rPr>
                <w:rFonts w:ascii="Times New Roman" w:hAnsi="Times New Roman"/>
                <w:color w:val="000000"/>
              </w:rPr>
            </w:pPr>
          </w:p>
        </w:tc>
        <w:tc>
          <w:tcPr>
            <w:tcW w:w="2422" w:type="dxa"/>
            <w:noWrap w:val="0"/>
            <w:vAlign w:val="top"/>
          </w:tcPr>
          <w:p>
            <w:pPr>
              <w:spacing w:after="0" w:line="223" w:lineRule="auto"/>
              <w:rPr>
                <w:rFonts w:ascii="Times New Roman" w:hAnsi="Times New Roman" w:eastAsia="Times New Roman"/>
              </w:rPr>
            </w:pPr>
            <w:r>
              <w:rPr>
                <w:rFonts w:ascii="Times New Roman" w:hAnsi="Times New Roman" w:eastAsia="Times New Roman"/>
                <w:color w:val="000000"/>
                <w:lang w:eastAsia="uk-UA"/>
              </w:rPr>
              <w:t>Відділ бухгалтерського обліку та звітності управління планово-фінансової діяльності, бухгалтерського обліку та звітності</w:t>
            </w:r>
            <w:r>
              <w:rPr>
                <w:rFonts w:ascii="Times New Roman" w:hAnsi="Times New Roman" w:eastAsia="Times New Roman"/>
                <w:lang w:eastAsia="uk-UA"/>
              </w:rPr>
              <w:t xml:space="preserve">, управління господарського та матеріально-технічного забезпечення, </w:t>
            </w:r>
            <w:r>
              <w:rPr>
                <w:rFonts w:ascii="Times New Roman" w:hAnsi="Times New Roman" w:eastAsia="Times New Roman"/>
              </w:rPr>
              <w:t>сектор з питань запобігання та виявлення корупції Секретаріату Комісії.</w:t>
            </w:r>
          </w:p>
          <w:p>
            <w:pPr>
              <w:spacing w:after="0" w:line="223" w:lineRule="auto"/>
              <w:rPr>
                <w:rFonts w:ascii="Times New Roman" w:hAnsi="Times New Roman" w:eastAsia="Times New Roman"/>
              </w:rPr>
            </w:pPr>
          </w:p>
          <w:p>
            <w:pPr>
              <w:spacing w:after="0" w:line="223" w:lineRule="auto"/>
              <w:rPr>
                <w:rFonts w:ascii="Times New Roman" w:hAnsi="Times New Roman" w:eastAsia="Times New Roman"/>
              </w:rPr>
            </w:pPr>
          </w:p>
          <w:p>
            <w:pPr>
              <w:spacing w:after="0" w:line="223" w:lineRule="auto"/>
              <w:rPr>
                <w:rFonts w:ascii="Times New Roman" w:hAnsi="Times New Roman" w:eastAsia="Times New Roman"/>
                <w:sz w:val="8"/>
              </w:rPr>
            </w:pPr>
          </w:p>
          <w:p>
            <w:pPr>
              <w:spacing w:after="0" w:line="223" w:lineRule="auto"/>
              <w:rPr>
                <w:rFonts w:ascii="Times New Roman" w:hAnsi="Times New Roman" w:eastAsia="Times New Roman"/>
              </w:rPr>
            </w:pPr>
            <w:r>
              <w:rPr>
                <w:rFonts w:ascii="Times New Roman" w:hAnsi="Times New Roman" w:eastAsia="Times New Roman"/>
                <w:lang w:eastAsia="ru-RU"/>
              </w:rPr>
              <w:t xml:space="preserve">Сектор з питань запобігання та виявлення корупції </w:t>
            </w:r>
            <w:r>
              <w:rPr>
                <w:rFonts w:ascii="Times New Roman" w:hAnsi="Times New Roman" w:eastAsia="Times New Roman"/>
              </w:rPr>
              <w:t>Секретаріату Комісії</w:t>
            </w:r>
          </w:p>
          <w:p>
            <w:pPr>
              <w:spacing w:after="0" w:line="223" w:lineRule="auto"/>
              <w:rPr>
                <w:rFonts w:ascii="Times New Roman" w:hAnsi="Times New Roman" w:eastAsia="Times New Roman"/>
                <w:lang w:eastAsia="uk-UA"/>
              </w:rPr>
            </w:pPr>
          </w:p>
          <w:p>
            <w:pPr>
              <w:spacing w:after="0" w:line="223" w:lineRule="auto"/>
              <w:rPr>
                <w:rFonts w:ascii="Times New Roman" w:hAnsi="Times New Roman" w:eastAsia="Times New Roman"/>
                <w:lang w:eastAsia="uk-UA"/>
              </w:rPr>
            </w:pPr>
          </w:p>
        </w:tc>
        <w:tc>
          <w:tcPr>
            <w:tcW w:w="1693" w:type="dxa"/>
            <w:noWrap w:val="0"/>
            <w:vAlign w:val="top"/>
          </w:tcPr>
          <w:p>
            <w:pPr>
              <w:spacing w:after="0" w:line="223" w:lineRule="auto"/>
              <w:rPr>
                <w:rFonts w:ascii="Times New Roman" w:hAnsi="Times New Roman" w:eastAsia="Times New Roman"/>
                <w:color w:val="000000"/>
              </w:rPr>
            </w:pPr>
            <w:r>
              <w:rPr>
                <w:rFonts w:ascii="Times New Roman" w:hAnsi="Times New Roman" w:eastAsia="Times New Roman"/>
                <w:color w:val="000000"/>
              </w:rPr>
              <w:t xml:space="preserve">Березень </w:t>
            </w:r>
            <w:r>
              <w:rPr>
                <w:rFonts w:ascii="Times New Roman" w:hAnsi="Times New Roman" w:eastAsia="Times New Roman"/>
                <w:color w:val="000000"/>
              </w:rPr>
              <w:br w:type="textWrapping"/>
            </w:r>
            <w:r>
              <w:rPr>
                <w:rFonts w:ascii="Times New Roman" w:hAnsi="Times New Roman" w:eastAsia="Times New Roman"/>
                <w:color w:val="000000"/>
              </w:rPr>
              <w:t>2022 року.</w:t>
            </w:r>
          </w:p>
          <w:p>
            <w:pPr>
              <w:spacing w:after="0" w:line="223" w:lineRule="auto"/>
              <w:rPr>
                <w:rFonts w:ascii="Times New Roman" w:hAnsi="Times New Roman" w:eastAsia="Times New Roman"/>
                <w:color w:val="000000"/>
              </w:rPr>
            </w:pPr>
          </w:p>
          <w:p>
            <w:pPr>
              <w:spacing w:after="0" w:line="223" w:lineRule="auto"/>
              <w:rPr>
                <w:rFonts w:ascii="Times New Roman" w:hAnsi="Times New Roman" w:eastAsia="Times New Roman"/>
                <w:color w:val="000000"/>
                <w:sz w:val="40"/>
                <w:szCs w:val="40"/>
              </w:rPr>
            </w:pPr>
          </w:p>
          <w:p>
            <w:pPr>
              <w:spacing w:after="0" w:line="223" w:lineRule="auto"/>
              <w:rPr>
                <w:rFonts w:ascii="Times New Roman" w:hAnsi="Times New Roman" w:eastAsia="Times New Roman"/>
                <w:color w:val="000000"/>
                <w:sz w:val="28"/>
                <w:szCs w:val="28"/>
              </w:rPr>
            </w:pPr>
          </w:p>
          <w:p>
            <w:pPr>
              <w:spacing w:after="0" w:line="223" w:lineRule="auto"/>
              <w:rPr>
                <w:rFonts w:ascii="Times New Roman" w:hAnsi="Times New Roman" w:eastAsia="Times New Roman"/>
                <w:color w:val="000000"/>
              </w:rPr>
            </w:pPr>
          </w:p>
          <w:p>
            <w:pPr>
              <w:spacing w:after="0" w:line="223" w:lineRule="auto"/>
              <w:rPr>
                <w:rFonts w:ascii="Times New Roman" w:hAnsi="Times New Roman" w:eastAsia="Times New Roman"/>
                <w:color w:val="000000"/>
              </w:rPr>
            </w:pPr>
            <w:r>
              <w:rPr>
                <w:rFonts w:ascii="Times New Roman" w:hAnsi="Times New Roman" w:eastAsia="Times New Roman"/>
                <w:color w:val="000000"/>
              </w:rPr>
              <w:t xml:space="preserve">Березень </w:t>
            </w:r>
            <w:r>
              <w:rPr>
                <w:rFonts w:ascii="Times New Roman" w:hAnsi="Times New Roman" w:eastAsia="Times New Roman"/>
                <w:color w:val="000000"/>
              </w:rPr>
              <w:br w:type="textWrapping"/>
            </w:r>
            <w:r>
              <w:rPr>
                <w:rFonts w:ascii="Times New Roman" w:hAnsi="Times New Roman" w:eastAsia="Times New Roman"/>
                <w:color w:val="000000"/>
              </w:rPr>
              <w:t>2022 року.</w:t>
            </w:r>
          </w:p>
          <w:p>
            <w:pPr>
              <w:spacing w:after="0" w:line="223" w:lineRule="auto"/>
              <w:rPr>
                <w:rFonts w:ascii="Times New Roman" w:hAnsi="Times New Roman" w:eastAsia="Times New Roman"/>
                <w:color w:val="000000"/>
              </w:rPr>
            </w:pPr>
          </w:p>
          <w:p>
            <w:pPr>
              <w:spacing w:after="0" w:line="223" w:lineRule="auto"/>
              <w:rPr>
                <w:rFonts w:ascii="Times New Roman" w:hAnsi="Times New Roman" w:eastAsia="Times New Roman"/>
                <w:color w:val="000000"/>
              </w:rPr>
            </w:pPr>
          </w:p>
          <w:p>
            <w:pPr>
              <w:spacing w:after="0" w:line="223" w:lineRule="auto"/>
              <w:rPr>
                <w:rFonts w:ascii="Times New Roman" w:hAnsi="Times New Roman" w:eastAsia="Times New Roman"/>
                <w:color w:val="000000"/>
              </w:rPr>
            </w:pPr>
          </w:p>
          <w:p>
            <w:pPr>
              <w:spacing w:after="0" w:line="223" w:lineRule="auto"/>
              <w:rPr>
                <w:rFonts w:ascii="Times New Roman" w:hAnsi="Times New Roman" w:eastAsia="Times New Roman"/>
                <w:color w:val="000000"/>
              </w:rPr>
            </w:pPr>
          </w:p>
          <w:p>
            <w:pPr>
              <w:spacing w:after="0" w:line="223" w:lineRule="auto"/>
              <w:rPr>
                <w:rFonts w:ascii="Times New Roman" w:hAnsi="Times New Roman" w:eastAsia="Times New Roman"/>
                <w:color w:val="000000"/>
              </w:rPr>
            </w:pPr>
          </w:p>
          <w:p>
            <w:pPr>
              <w:spacing w:after="0" w:line="223" w:lineRule="auto"/>
              <w:rPr>
                <w:rFonts w:ascii="Times New Roman" w:hAnsi="Times New Roman" w:eastAsia="Times New Roman"/>
                <w:color w:val="000000"/>
              </w:rPr>
            </w:pPr>
          </w:p>
          <w:p>
            <w:pPr>
              <w:spacing w:after="0" w:line="223" w:lineRule="auto"/>
              <w:rPr>
                <w:rFonts w:ascii="Times New Roman" w:hAnsi="Times New Roman" w:eastAsia="Times New Roman"/>
                <w:color w:val="000000"/>
              </w:rPr>
            </w:pPr>
          </w:p>
          <w:p>
            <w:pPr>
              <w:spacing w:after="0" w:line="223" w:lineRule="auto"/>
              <w:rPr>
                <w:rFonts w:ascii="Times New Roman" w:hAnsi="Times New Roman" w:eastAsia="Times New Roman"/>
                <w:color w:val="000000"/>
              </w:rPr>
            </w:pPr>
          </w:p>
          <w:p>
            <w:pPr>
              <w:spacing w:after="0" w:line="223" w:lineRule="auto"/>
              <w:rPr>
                <w:rFonts w:ascii="Times New Roman" w:hAnsi="Times New Roman" w:eastAsia="Times New Roman"/>
                <w:color w:val="000000"/>
                <w:sz w:val="8"/>
              </w:rPr>
            </w:pPr>
          </w:p>
          <w:p>
            <w:pPr>
              <w:spacing w:after="0" w:line="223" w:lineRule="auto"/>
              <w:rPr>
                <w:rFonts w:ascii="Times New Roman" w:hAnsi="Times New Roman" w:eastAsia="Times New Roman"/>
                <w:color w:val="000000"/>
              </w:rPr>
            </w:pPr>
            <w:r>
              <w:rPr>
                <w:rFonts w:ascii="Times New Roman" w:hAnsi="Times New Roman" w:eastAsia="Times New Roman"/>
                <w:color w:val="000000"/>
              </w:rPr>
              <w:t xml:space="preserve">Квітень </w:t>
            </w:r>
            <w:r>
              <w:rPr>
                <w:rFonts w:ascii="Times New Roman" w:hAnsi="Times New Roman" w:eastAsia="Times New Roman"/>
                <w:color w:val="000000"/>
              </w:rPr>
              <w:br w:type="textWrapping"/>
            </w:r>
            <w:r>
              <w:rPr>
                <w:rFonts w:ascii="Times New Roman" w:hAnsi="Times New Roman" w:eastAsia="Times New Roman"/>
                <w:color w:val="000000"/>
              </w:rPr>
              <w:t>2022 року</w:t>
            </w:r>
          </w:p>
        </w:tc>
        <w:tc>
          <w:tcPr>
            <w:tcW w:w="1450" w:type="dxa"/>
            <w:noWrap w:val="0"/>
            <w:vAlign w:val="top"/>
          </w:tcPr>
          <w:p>
            <w:pPr>
              <w:spacing w:after="0" w:line="223" w:lineRule="auto"/>
              <w:rPr>
                <w:rFonts w:ascii="Times New Roman" w:hAnsi="Times New Roman" w:eastAsia="Times New Roman"/>
                <w:color w:val="000000"/>
              </w:rPr>
            </w:pPr>
            <w:r>
              <w:rPr>
                <w:rFonts w:ascii="Times New Roman" w:hAnsi="Times New Roman" w:eastAsia="Times New Roman"/>
                <w:color w:val="000000"/>
              </w:rPr>
              <w:t>Не потребує додаткових ресурсів</w:t>
            </w:r>
          </w:p>
          <w:p>
            <w:pPr>
              <w:spacing w:after="0" w:line="223" w:lineRule="auto"/>
              <w:rPr>
                <w:rFonts w:ascii="Times New Roman" w:hAnsi="Times New Roman" w:eastAsia="Times New Roman"/>
                <w:color w:val="000000"/>
              </w:rPr>
            </w:pPr>
          </w:p>
        </w:tc>
        <w:tc>
          <w:tcPr>
            <w:tcW w:w="2178" w:type="dxa"/>
            <w:noWrap w:val="0"/>
            <w:vAlign w:val="top"/>
          </w:tcPr>
          <w:p>
            <w:pPr>
              <w:spacing w:after="0" w:line="223" w:lineRule="auto"/>
              <w:rPr>
                <w:rFonts w:ascii="Times New Roman" w:hAnsi="Times New Roman"/>
                <w:color w:val="000000"/>
              </w:rPr>
            </w:pPr>
            <w:r>
              <w:rPr>
                <w:rFonts w:ascii="Times New Roman" w:hAnsi="Times New Roman" w:eastAsia="Times New Roman"/>
                <w:color w:val="000000"/>
              </w:rPr>
              <w:t xml:space="preserve">Затверджено організаційно-розпорядчий документ  </w:t>
            </w:r>
            <w:r>
              <w:rPr>
                <w:rFonts w:ascii="Times New Roman" w:hAnsi="Times New Roman"/>
                <w:color w:val="000000"/>
              </w:rPr>
              <w:t xml:space="preserve">щодо порядку передачі дарунків, одержаних як подарунки Центральній виборчій комісії; створено комісію з питань оцінки вартості дарунків, вирішення питання щодо можливості їх використання, місця та строку зберігання; </w:t>
            </w:r>
            <w:r>
              <w:rPr>
                <w:rFonts w:ascii="Times New Roman" w:hAnsi="Times New Roman" w:eastAsia="Times New Roman"/>
                <w:color w:val="000000"/>
              </w:rPr>
              <w:t>розроблено пам’ятку (методичні рекомендації)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591" w:type="dxa"/>
            <w:noWrap w:val="0"/>
            <w:vAlign w:val="top"/>
          </w:tcPr>
          <w:p>
            <w:pPr>
              <w:numPr>
                <w:ilvl w:val="0"/>
                <w:numId w:val="3"/>
              </w:numPr>
              <w:spacing w:after="0" w:line="223" w:lineRule="auto"/>
              <w:ind w:left="0" w:firstLine="0"/>
              <w:jc w:val="center"/>
              <w:rPr>
                <w:rFonts w:ascii="Times New Roman" w:hAnsi="Times New Roman" w:eastAsia="Times New Roman"/>
              </w:rPr>
            </w:pPr>
          </w:p>
        </w:tc>
        <w:tc>
          <w:tcPr>
            <w:tcW w:w="2552" w:type="dxa"/>
            <w:noWrap w:val="0"/>
            <w:vAlign w:val="top"/>
          </w:tcPr>
          <w:p>
            <w:pPr>
              <w:autoSpaceDE w:val="0"/>
              <w:autoSpaceDN w:val="0"/>
              <w:adjustRightInd w:val="0"/>
              <w:spacing w:after="0" w:line="223" w:lineRule="auto"/>
              <w:rPr>
                <w:rFonts w:ascii="Times New Roman" w:hAnsi="Times New Roman"/>
                <w:color w:val="000000"/>
                <w:spacing w:val="-6"/>
              </w:rPr>
            </w:pPr>
            <w:r>
              <w:rPr>
                <w:rFonts w:ascii="Times New Roman" w:hAnsi="Times New Roman"/>
                <w:color w:val="000000"/>
                <w:spacing w:val="-6"/>
              </w:rPr>
              <w:t>Неврегульованість порядку взаємодії сектору з питань запобігання та виявлення корупції та управління персоналу Секретаріату Комісії, що може призвести до  несвоєчасного подання повідомлень Національному агентству з питань запобігання корупції про несвоєчасне подання чи неподання декларацій суб’єктами декларування Комісії</w:t>
            </w:r>
          </w:p>
        </w:tc>
        <w:tc>
          <w:tcPr>
            <w:tcW w:w="1250" w:type="dxa"/>
            <w:noWrap w:val="0"/>
            <w:vAlign w:val="top"/>
          </w:tcPr>
          <w:p>
            <w:pPr>
              <w:spacing w:after="0" w:line="223" w:lineRule="auto"/>
              <w:rPr>
                <w:rFonts w:ascii="Times New Roman" w:hAnsi="Times New Roman" w:eastAsia="Times New Roman"/>
                <w:color w:val="000000"/>
                <w:lang w:eastAsia="uk-UA"/>
              </w:rPr>
            </w:pPr>
            <w:r>
              <w:rPr>
                <w:rFonts w:ascii="Times New Roman" w:hAnsi="Times New Roman" w:eastAsia="Times New Roman"/>
                <w:color w:val="000000"/>
                <w:lang w:eastAsia="uk-UA"/>
              </w:rPr>
              <w:t>Середня</w:t>
            </w:r>
          </w:p>
        </w:tc>
        <w:tc>
          <w:tcPr>
            <w:tcW w:w="3050" w:type="dxa"/>
            <w:noWrap w:val="0"/>
            <w:vAlign w:val="top"/>
          </w:tcPr>
          <w:p>
            <w:pPr>
              <w:autoSpaceDE w:val="0"/>
              <w:autoSpaceDN w:val="0"/>
              <w:adjustRightInd w:val="0"/>
              <w:spacing w:after="0" w:line="223" w:lineRule="auto"/>
              <w:rPr>
                <w:rFonts w:ascii="Times New Roman" w:hAnsi="Times New Roman"/>
                <w:color w:val="000000"/>
              </w:rPr>
            </w:pPr>
            <w:r>
              <w:rPr>
                <w:rFonts w:ascii="Times New Roman" w:hAnsi="Times New Roman"/>
                <w:color w:val="000000"/>
              </w:rPr>
              <w:t>Розроблення та затвердження організаційно-розпорядчого документа про порядок взаємодії сектору з питань запобігання та виявлення корупції та управління персоналу Секретаріату Комісії для здійснення обліку суб’єктів декларування з метою дотримання вимог фінансового контролю</w:t>
            </w:r>
          </w:p>
        </w:tc>
        <w:tc>
          <w:tcPr>
            <w:tcW w:w="2422" w:type="dxa"/>
            <w:noWrap w:val="0"/>
            <w:vAlign w:val="top"/>
          </w:tcPr>
          <w:p>
            <w:pPr>
              <w:spacing w:after="0" w:line="223" w:lineRule="auto"/>
              <w:rPr>
                <w:rFonts w:ascii="Times New Roman" w:hAnsi="Times New Roman" w:eastAsia="Times New Roman"/>
                <w:color w:val="000000"/>
                <w:lang w:eastAsia="uk-UA"/>
              </w:rPr>
            </w:pPr>
            <w:r>
              <w:rPr>
                <w:rFonts w:ascii="Times New Roman" w:hAnsi="Times New Roman" w:eastAsia="Times New Roman"/>
                <w:lang w:eastAsia="uk-UA"/>
              </w:rPr>
              <w:t>Сектор з питань запобігання та виявлення корупції</w:t>
            </w:r>
            <w:r>
              <w:rPr>
                <w:rFonts w:ascii="Times New Roman" w:hAnsi="Times New Roman" w:eastAsia="Times New Roman"/>
              </w:rPr>
              <w:t>,</w:t>
            </w:r>
            <w:r>
              <w:rPr>
                <w:rFonts w:ascii="Times New Roman" w:hAnsi="Times New Roman" w:eastAsia="Times New Roman"/>
                <w:lang w:eastAsia="uk-UA"/>
              </w:rPr>
              <w:t xml:space="preserve"> управління персоналу </w:t>
            </w:r>
            <w:r>
              <w:rPr>
                <w:rFonts w:ascii="Times New Roman" w:hAnsi="Times New Roman" w:eastAsia="Times New Roman"/>
              </w:rPr>
              <w:t>Секретаріату Комісії</w:t>
            </w:r>
          </w:p>
        </w:tc>
        <w:tc>
          <w:tcPr>
            <w:tcW w:w="1693" w:type="dxa"/>
            <w:noWrap w:val="0"/>
            <w:vAlign w:val="top"/>
          </w:tcPr>
          <w:p>
            <w:pPr>
              <w:spacing w:after="0" w:line="223" w:lineRule="auto"/>
              <w:rPr>
                <w:rFonts w:ascii="Times New Roman" w:hAnsi="Times New Roman" w:eastAsia="Times New Roman"/>
                <w:color w:val="000000"/>
              </w:rPr>
            </w:pPr>
            <w:r>
              <w:rPr>
                <w:rFonts w:ascii="Times New Roman" w:hAnsi="Times New Roman" w:eastAsia="Times New Roman"/>
                <w:color w:val="000000"/>
              </w:rPr>
              <w:t xml:space="preserve">Січень </w:t>
            </w:r>
            <w:r>
              <w:rPr>
                <w:rFonts w:ascii="Times New Roman" w:hAnsi="Times New Roman" w:eastAsia="Times New Roman"/>
                <w:color w:val="000000"/>
              </w:rPr>
              <w:br w:type="textWrapping"/>
            </w:r>
            <w:r>
              <w:rPr>
                <w:rFonts w:ascii="Times New Roman" w:hAnsi="Times New Roman" w:eastAsia="Times New Roman"/>
                <w:color w:val="000000"/>
              </w:rPr>
              <w:t>2022 року</w:t>
            </w:r>
          </w:p>
          <w:p>
            <w:pPr>
              <w:spacing w:after="0" w:line="223" w:lineRule="auto"/>
              <w:rPr>
                <w:rFonts w:ascii="Times New Roman" w:hAnsi="Times New Roman" w:eastAsia="Times New Roman"/>
                <w:color w:val="000000"/>
              </w:rPr>
            </w:pPr>
          </w:p>
          <w:p>
            <w:pPr>
              <w:spacing w:after="0" w:line="223" w:lineRule="auto"/>
              <w:rPr>
                <w:rFonts w:ascii="Times New Roman" w:hAnsi="Times New Roman" w:eastAsia="Times New Roman"/>
                <w:color w:val="000000"/>
              </w:rPr>
            </w:pPr>
          </w:p>
          <w:p>
            <w:pPr>
              <w:spacing w:after="0" w:line="223" w:lineRule="auto"/>
              <w:rPr>
                <w:rFonts w:ascii="Times New Roman" w:hAnsi="Times New Roman" w:eastAsia="Times New Roman"/>
                <w:color w:val="000000"/>
              </w:rPr>
            </w:pPr>
          </w:p>
          <w:p>
            <w:pPr>
              <w:spacing w:after="0" w:line="223" w:lineRule="auto"/>
              <w:rPr>
                <w:rFonts w:ascii="Times New Roman" w:hAnsi="Times New Roman" w:eastAsia="Times New Roman"/>
                <w:color w:val="000000"/>
              </w:rPr>
            </w:pPr>
          </w:p>
          <w:p>
            <w:pPr>
              <w:spacing w:after="0" w:line="223" w:lineRule="auto"/>
              <w:rPr>
                <w:rFonts w:ascii="Times New Roman" w:hAnsi="Times New Roman" w:eastAsia="Times New Roman"/>
                <w:color w:val="000000"/>
              </w:rPr>
            </w:pPr>
          </w:p>
        </w:tc>
        <w:tc>
          <w:tcPr>
            <w:tcW w:w="1450" w:type="dxa"/>
            <w:noWrap w:val="0"/>
            <w:vAlign w:val="top"/>
          </w:tcPr>
          <w:p>
            <w:pPr>
              <w:spacing w:after="0" w:line="223" w:lineRule="auto"/>
              <w:rPr>
                <w:rFonts w:ascii="Times New Roman" w:hAnsi="Times New Roman" w:eastAsia="Times New Roman"/>
                <w:color w:val="000000"/>
              </w:rPr>
            </w:pPr>
            <w:r>
              <w:rPr>
                <w:rFonts w:ascii="Times New Roman" w:hAnsi="Times New Roman" w:eastAsia="Times New Roman"/>
                <w:color w:val="000000"/>
              </w:rPr>
              <w:t>Не потребує додаткових ресурсів</w:t>
            </w:r>
          </w:p>
          <w:p>
            <w:pPr>
              <w:spacing w:after="0" w:line="223" w:lineRule="auto"/>
              <w:rPr>
                <w:rFonts w:ascii="Times New Roman" w:hAnsi="Times New Roman" w:eastAsia="Times New Roman"/>
                <w:color w:val="000000"/>
              </w:rPr>
            </w:pPr>
          </w:p>
        </w:tc>
        <w:tc>
          <w:tcPr>
            <w:tcW w:w="2178" w:type="dxa"/>
            <w:noWrap w:val="0"/>
            <w:vAlign w:val="top"/>
          </w:tcPr>
          <w:p>
            <w:pPr>
              <w:spacing w:after="0" w:line="223" w:lineRule="auto"/>
              <w:rPr>
                <w:rFonts w:ascii="Times New Roman" w:hAnsi="Times New Roman" w:eastAsia="Times New Roman"/>
              </w:rPr>
            </w:pPr>
            <w:r>
              <w:rPr>
                <w:rFonts w:ascii="Times New Roman" w:hAnsi="Times New Roman" w:eastAsia="Times New Roman"/>
              </w:rPr>
              <w:t>Затверджено організаційно- розпорядчий документ про порядок взаємодії сектору з питань запобігання та виявлення корупції з управлінням персоналу Секретаріату Комісії</w:t>
            </w:r>
          </w:p>
        </w:tc>
      </w:tr>
    </w:tbl>
    <w:p>
      <w:pPr>
        <w:spacing w:after="0" w:line="240" w:lineRule="auto"/>
        <w:rPr>
          <w:rFonts w:ascii="Times New Roman" w:hAnsi="Times New Roman" w:eastAsia="Times New Roman"/>
        </w:rPr>
      </w:pPr>
    </w:p>
    <w:p>
      <w:pPr>
        <w:suppressAutoHyphens/>
        <w:spacing w:after="0" w:line="240" w:lineRule="auto"/>
        <w:ind w:left="5760"/>
        <w:jc w:val="center"/>
        <w:rPr>
          <w:rFonts w:ascii="Times New Roman" w:hAnsi="Times New Roman" w:eastAsia="Times New Roman"/>
          <w:b/>
          <w:i/>
          <w:sz w:val="24"/>
          <w:szCs w:val="20"/>
          <w:lang w:eastAsia="uk-UA"/>
        </w:rPr>
      </w:pPr>
    </w:p>
    <w:p>
      <w:pPr>
        <w:suppressAutoHyphens/>
        <w:spacing w:after="0" w:line="240" w:lineRule="auto"/>
        <w:ind w:left="5760"/>
        <w:jc w:val="center"/>
        <w:rPr>
          <w:rFonts w:ascii="Times New Roman" w:hAnsi="Times New Roman" w:eastAsia="Times New Roman"/>
          <w:b/>
          <w:i/>
          <w:sz w:val="24"/>
          <w:szCs w:val="20"/>
          <w:lang w:eastAsia="uk-UA"/>
        </w:rPr>
      </w:pPr>
    </w:p>
    <w:p>
      <w:pPr>
        <w:suppressAutoHyphens/>
        <w:spacing w:after="0" w:line="240" w:lineRule="auto"/>
        <w:ind w:left="5760"/>
        <w:jc w:val="center"/>
        <w:rPr>
          <w:rFonts w:ascii="Times New Roman" w:hAnsi="Times New Roman" w:eastAsia="Times New Roman"/>
          <w:b/>
          <w:i/>
          <w:sz w:val="24"/>
          <w:szCs w:val="20"/>
          <w:lang w:eastAsia="uk-UA"/>
        </w:rPr>
      </w:pPr>
    </w:p>
    <w:sectPr>
      <w:footerReference r:id="rId5" w:type="default"/>
      <w:pgSz w:w="16838" w:h="11906" w:orient="landscape"/>
      <w:pgMar w:top="1041" w:right="1134" w:bottom="851" w:left="1134" w:header="0" w:footer="567" w:gutter="0"/>
      <w:cols w:space="720" w:num="1"/>
      <w:titlePg/>
      <w:docGrid w:linePitch="29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CC"/>
    <w:family w:val="swiss"/>
    <w:pitch w:val="default"/>
    <w:sig w:usb0="E4002EFF" w:usb1="C000E47F" w:usb2="00000009" w:usb3="00000000" w:csb0="200001FF" w:csb1="00000000"/>
  </w:font>
  <w:font w:name="Cambria">
    <w:panose1 w:val="02040503050406030204"/>
    <w:charset w:val="CC"/>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spacing w:after="0" w:line="240" w:lineRule="auto"/>
      <w:rPr>
        <w:rStyle w:val="7"/>
        <w:rFonts w:ascii="Times New Roman" w:hAnsi="Times New Roman"/>
      </w:rPr>
    </w:pPr>
    <w:r>
      <w:rPr>
        <w:rFonts w:ascii="Times New Roman" w:hAnsi="Times New Roman"/>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BB2603"/>
    <w:multiLevelType w:val="multilevel"/>
    <w:tmpl w:val="00BB2603"/>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0484768B"/>
    <w:multiLevelType w:val="multilevel"/>
    <w:tmpl w:val="0484768B"/>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05E70C11"/>
    <w:multiLevelType w:val="multilevel"/>
    <w:tmpl w:val="05E70C11"/>
    <w:lvl w:ilvl="0" w:tentative="0">
      <w:start w:val="1"/>
      <w:numFmt w:val="decimal"/>
      <w:lvlText w:val="%1."/>
      <w:lvlJc w:val="left"/>
      <w:pPr>
        <w:ind w:left="387" w:hanging="360"/>
      </w:pPr>
      <w:rPr>
        <w:rFonts w:hint="default"/>
      </w:rPr>
    </w:lvl>
    <w:lvl w:ilvl="1" w:tentative="0">
      <w:start w:val="1"/>
      <w:numFmt w:val="lowerLetter"/>
      <w:lvlText w:val="%2."/>
      <w:lvlJc w:val="left"/>
      <w:pPr>
        <w:ind w:left="1107" w:hanging="360"/>
      </w:pPr>
    </w:lvl>
    <w:lvl w:ilvl="2" w:tentative="0">
      <w:start w:val="1"/>
      <w:numFmt w:val="lowerRoman"/>
      <w:lvlText w:val="%3."/>
      <w:lvlJc w:val="right"/>
      <w:pPr>
        <w:ind w:left="1827" w:hanging="180"/>
      </w:pPr>
    </w:lvl>
    <w:lvl w:ilvl="3" w:tentative="0">
      <w:start w:val="1"/>
      <w:numFmt w:val="decimal"/>
      <w:lvlText w:val="%4."/>
      <w:lvlJc w:val="left"/>
      <w:pPr>
        <w:ind w:left="2547" w:hanging="360"/>
      </w:pPr>
    </w:lvl>
    <w:lvl w:ilvl="4" w:tentative="0">
      <w:start w:val="1"/>
      <w:numFmt w:val="lowerLetter"/>
      <w:lvlText w:val="%5."/>
      <w:lvlJc w:val="left"/>
      <w:pPr>
        <w:ind w:left="3267" w:hanging="360"/>
      </w:pPr>
    </w:lvl>
    <w:lvl w:ilvl="5" w:tentative="0">
      <w:start w:val="1"/>
      <w:numFmt w:val="lowerRoman"/>
      <w:lvlText w:val="%6."/>
      <w:lvlJc w:val="right"/>
      <w:pPr>
        <w:ind w:left="3987" w:hanging="180"/>
      </w:pPr>
    </w:lvl>
    <w:lvl w:ilvl="6" w:tentative="0">
      <w:start w:val="1"/>
      <w:numFmt w:val="decimal"/>
      <w:lvlText w:val="%7."/>
      <w:lvlJc w:val="left"/>
      <w:pPr>
        <w:ind w:left="4707" w:hanging="360"/>
      </w:pPr>
    </w:lvl>
    <w:lvl w:ilvl="7" w:tentative="0">
      <w:start w:val="1"/>
      <w:numFmt w:val="lowerLetter"/>
      <w:lvlText w:val="%8."/>
      <w:lvlJc w:val="left"/>
      <w:pPr>
        <w:ind w:left="5427" w:hanging="360"/>
      </w:pPr>
    </w:lvl>
    <w:lvl w:ilvl="8" w:tentative="0">
      <w:start w:val="1"/>
      <w:numFmt w:val="lowerRoman"/>
      <w:lvlText w:val="%9."/>
      <w:lvlJc w:val="right"/>
      <w:pPr>
        <w:ind w:left="6147" w:hanging="180"/>
      </w:pPr>
    </w:lvl>
  </w:abstractNum>
  <w:abstractNum w:abstractNumId="3">
    <w:nsid w:val="06FB7DA1"/>
    <w:multiLevelType w:val="multilevel"/>
    <w:tmpl w:val="06FB7DA1"/>
    <w:lvl w:ilvl="0" w:tentative="0">
      <w:start w:val="1"/>
      <w:numFmt w:val="decimal"/>
      <w:lvlText w:val="%1."/>
      <w:lvlJc w:val="left"/>
      <w:pPr>
        <w:ind w:left="360" w:hanging="360"/>
      </w:pPr>
      <w:rPr>
        <w:rFonts w:hint="default"/>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4">
    <w:nsid w:val="07EC225B"/>
    <w:multiLevelType w:val="multilevel"/>
    <w:tmpl w:val="07EC225B"/>
    <w:lvl w:ilvl="0" w:tentative="0">
      <w:start w:val="1"/>
      <w:numFmt w:val="decimal"/>
      <w:lvlText w:val="%1."/>
      <w:lvlJc w:val="left"/>
      <w:pPr>
        <w:ind w:left="720" w:hanging="360"/>
      </w:pPr>
      <w:rPr>
        <w:rFonts w:hint="default"/>
        <w:sz w:val="24"/>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07F32DD1"/>
    <w:multiLevelType w:val="multilevel"/>
    <w:tmpl w:val="07F32DD1"/>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
    <w:nsid w:val="10966FC5"/>
    <w:multiLevelType w:val="multilevel"/>
    <w:tmpl w:val="10966FC5"/>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
    <w:nsid w:val="10A41028"/>
    <w:multiLevelType w:val="multilevel"/>
    <w:tmpl w:val="10A41028"/>
    <w:lvl w:ilvl="0" w:tentative="0">
      <w:start w:val="1"/>
      <w:numFmt w:val="decimal"/>
      <w:lvlText w:val="%1."/>
      <w:lvlJc w:val="left"/>
      <w:pPr>
        <w:ind w:left="720" w:hanging="360"/>
      </w:pPr>
      <w:rPr>
        <w:rFonts w:hint="default" w:eastAsia="Calibri"/>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24F50670"/>
    <w:multiLevelType w:val="multilevel"/>
    <w:tmpl w:val="24F50670"/>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
    <w:nsid w:val="26BE0EC3"/>
    <w:multiLevelType w:val="multilevel"/>
    <w:tmpl w:val="26BE0EC3"/>
    <w:lvl w:ilvl="0" w:tentative="0">
      <w:start w:val="1"/>
      <w:numFmt w:val="decimal"/>
      <w:lvlText w:val="%1."/>
      <w:lvlJc w:val="left"/>
      <w:pPr>
        <w:ind w:left="426" w:hanging="360"/>
      </w:pPr>
      <w:rPr>
        <w:rFonts w:hint="default"/>
      </w:rPr>
    </w:lvl>
    <w:lvl w:ilvl="1" w:tentative="0">
      <w:start w:val="1"/>
      <w:numFmt w:val="lowerLetter"/>
      <w:lvlText w:val="%2."/>
      <w:lvlJc w:val="left"/>
      <w:pPr>
        <w:ind w:left="1146" w:hanging="360"/>
      </w:pPr>
    </w:lvl>
    <w:lvl w:ilvl="2" w:tentative="0">
      <w:start w:val="1"/>
      <w:numFmt w:val="lowerRoman"/>
      <w:lvlText w:val="%3."/>
      <w:lvlJc w:val="right"/>
      <w:pPr>
        <w:ind w:left="1866" w:hanging="180"/>
      </w:pPr>
    </w:lvl>
    <w:lvl w:ilvl="3" w:tentative="0">
      <w:start w:val="1"/>
      <w:numFmt w:val="decimal"/>
      <w:lvlText w:val="%4."/>
      <w:lvlJc w:val="left"/>
      <w:pPr>
        <w:ind w:left="2586" w:hanging="360"/>
      </w:pPr>
    </w:lvl>
    <w:lvl w:ilvl="4" w:tentative="0">
      <w:start w:val="1"/>
      <w:numFmt w:val="lowerLetter"/>
      <w:lvlText w:val="%5."/>
      <w:lvlJc w:val="left"/>
      <w:pPr>
        <w:ind w:left="3306" w:hanging="360"/>
      </w:pPr>
    </w:lvl>
    <w:lvl w:ilvl="5" w:tentative="0">
      <w:start w:val="1"/>
      <w:numFmt w:val="lowerRoman"/>
      <w:lvlText w:val="%6."/>
      <w:lvlJc w:val="right"/>
      <w:pPr>
        <w:ind w:left="4026" w:hanging="180"/>
      </w:pPr>
    </w:lvl>
    <w:lvl w:ilvl="6" w:tentative="0">
      <w:start w:val="1"/>
      <w:numFmt w:val="decimal"/>
      <w:lvlText w:val="%7."/>
      <w:lvlJc w:val="left"/>
      <w:pPr>
        <w:ind w:left="4746" w:hanging="360"/>
      </w:pPr>
    </w:lvl>
    <w:lvl w:ilvl="7" w:tentative="0">
      <w:start w:val="1"/>
      <w:numFmt w:val="lowerLetter"/>
      <w:lvlText w:val="%8."/>
      <w:lvlJc w:val="left"/>
      <w:pPr>
        <w:ind w:left="5466" w:hanging="360"/>
      </w:pPr>
    </w:lvl>
    <w:lvl w:ilvl="8" w:tentative="0">
      <w:start w:val="1"/>
      <w:numFmt w:val="lowerRoman"/>
      <w:lvlText w:val="%9."/>
      <w:lvlJc w:val="right"/>
      <w:pPr>
        <w:ind w:left="6186" w:hanging="180"/>
      </w:pPr>
    </w:lvl>
  </w:abstractNum>
  <w:abstractNum w:abstractNumId="10">
    <w:nsid w:val="2A053F6F"/>
    <w:multiLevelType w:val="multilevel"/>
    <w:tmpl w:val="2A053F6F"/>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
    <w:nsid w:val="2EC86886"/>
    <w:multiLevelType w:val="multilevel"/>
    <w:tmpl w:val="2EC86886"/>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
    <w:nsid w:val="424B7636"/>
    <w:multiLevelType w:val="multilevel"/>
    <w:tmpl w:val="424B7636"/>
    <w:lvl w:ilvl="0" w:tentative="0">
      <w:start w:val="1"/>
      <w:numFmt w:val="decimal"/>
      <w:lvlText w:val="%1."/>
      <w:lvlJc w:val="left"/>
      <w:pPr>
        <w:ind w:left="644" w:hanging="360"/>
      </w:pPr>
      <w:rPr>
        <w:rFonts w:hint="default"/>
        <w:color w:val="00000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3">
    <w:nsid w:val="44B75215"/>
    <w:multiLevelType w:val="multilevel"/>
    <w:tmpl w:val="44B75215"/>
    <w:lvl w:ilvl="0" w:tentative="0">
      <w:start w:val="1"/>
      <w:numFmt w:val="decimal"/>
      <w:lvlText w:val="%1."/>
      <w:lvlJc w:val="left"/>
      <w:pPr>
        <w:ind w:left="870" w:hanging="51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4">
    <w:nsid w:val="49225880"/>
    <w:multiLevelType w:val="singleLevel"/>
    <w:tmpl w:val="49225880"/>
    <w:lvl w:ilvl="0" w:tentative="0">
      <w:start w:val="1"/>
      <w:numFmt w:val="decimal"/>
      <w:pStyle w:val="28"/>
      <w:lvlText w:val="%1."/>
      <w:lvlJc w:val="left"/>
      <w:pPr>
        <w:tabs>
          <w:tab w:val="left" w:pos="1080"/>
        </w:tabs>
        <w:ind w:left="0" w:firstLine="720"/>
      </w:pPr>
    </w:lvl>
  </w:abstractNum>
  <w:abstractNum w:abstractNumId="15">
    <w:nsid w:val="4B023EA1"/>
    <w:multiLevelType w:val="multilevel"/>
    <w:tmpl w:val="4B023EA1"/>
    <w:lvl w:ilvl="0" w:tentative="0">
      <w:start w:val="1"/>
      <w:numFmt w:val="decimal"/>
      <w:lvlText w:val="%1."/>
      <w:lvlJc w:val="left"/>
      <w:pPr>
        <w:ind w:left="642" w:hanging="360"/>
      </w:pPr>
      <w:rPr>
        <w:rFonts w:hint="default" w:eastAsia="Calibri"/>
        <w:color w:val="00000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6">
    <w:nsid w:val="5A4F55D8"/>
    <w:multiLevelType w:val="multilevel"/>
    <w:tmpl w:val="5A4F55D8"/>
    <w:lvl w:ilvl="0" w:tentative="0">
      <w:start w:val="1"/>
      <w:numFmt w:val="decimal"/>
      <w:lvlText w:val="%1."/>
      <w:lvlJc w:val="left"/>
      <w:pPr>
        <w:ind w:left="720" w:hanging="360"/>
      </w:pPr>
      <w:rPr>
        <w:rFonts w:ascii="Times New Roman" w:hAnsi="Times New Roman" w:eastAsia="Calibri" w:cs="Times New Roman"/>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7">
    <w:nsid w:val="62A81682"/>
    <w:multiLevelType w:val="multilevel"/>
    <w:tmpl w:val="62A81682"/>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8">
    <w:nsid w:val="63C11E92"/>
    <w:multiLevelType w:val="multilevel"/>
    <w:tmpl w:val="63C11E92"/>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9">
    <w:nsid w:val="64474162"/>
    <w:multiLevelType w:val="multilevel"/>
    <w:tmpl w:val="64474162"/>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0">
    <w:nsid w:val="770674BA"/>
    <w:multiLevelType w:val="multilevel"/>
    <w:tmpl w:val="770674BA"/>
    <w:lvl w:ilvl="0" w:tentative="0">
      <w:start w:val="1"/>
      <w:numFmt w:val="decimal"/>
      <w:lvlText w:val="%1."/>
      <w:lvlJc w:val="left"/>
      <w:pPr>
        <w:ind w:left="825" w:hanging="465"/>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1">
    <w:nsid w:val="77B4007F"/>
    <w:multiLevelType w:val="multilevel"/>
    <w:tmpl w:val="77B4007F"/>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2">
    <w:nsid w:val="77D57F24"/>
    <w:multiLevelType w:val="singleLevel"/>
    <w:tmpl w:val="77D57F24"/>
    <w:lvl w:ilvl="0" w:tentative="0">
      <w:start w:val="1"/>
      <w:numFmt w:val="decimal"/>
      <w:pStyle w:val="29"/>
      <w:lvlText w:val="%1)"/>
      <w:lvlJc w:val="left"/>
      <w:pPr>
        <w:tabs>
          <w:tab w:val="left" w:pos="1080"/>
        </w:tabs>
        <w:ind w:left="1021" w:hanging="301"/>
      </w:pPr>
    </w:lvl>
  </w:abstractNum>
  <w:abstractNum w:abstractNumId="23">
    <w:nsid w:val="7F2A3606"/>
    <w:multiLevelType w:val="multilevel"/>
    <w:tmpl w:val="7F2A3606"/>
    <w:lvl w:ilvl="0" w:tentative="0">
      <w:start w:val="1"/>
      <w:numFmt w:val="decimal"/>
      <w:lvlText w:val="%1."/>
      <w:lvlJc w:val="left"/>
      <w:pPr>
        <w:ind w:left="362" w:hanging="360"/>
      </w:pPr>
      <w:rPr>
        <w:rFonts w:hint="default"/>
      </w:rPr>
    </w:lvl>
    <w:lvl w:ilvl="1" w:tentative="0">
      <w:start w:val="1"/>
      <w:numFmt w:val="lowerLetter"/>
      <w:lvlText w:val="%2."/>
      <w:lvlJc w:val="left"/>
      <w:pPr>
        <w:ind w:left="1082" w:hanging="360"/>
      </w:pPr>
    </w:lvl>
    <w:lvl w:ilvl="2" w:tentative="0">
      <w:start w:val="1"/>
      <w:numFmt w:val="lowerRoman"/>
      <w:lvlText w:val="%3."/>
      <w:lvlJc w:val="right"/>
      <w:pPr>
        <w:ind w:left="1802" w:hanging="180"/>
      </w:pPr>
    </w:lvl>
    <w:lvl w:ilvl="3" w:tentative="0">
      <w:start w:val="1"/>
      <w:numFmt w:val="decimal"/>
      <w:lvlText w:val="%4."/>
      <w:lvlJc w:val="left"/>
      <w:pPr>
        <w:ind w:left="2522" w:hanging="360"/>
      </w:pPr>
    </w:lvl>
    <w:lvl w:ilvl="4" w:tentative="0">
      <w:start w:val="1"/>
      <w:numFmt w:val="lowerLetter"/>
      <w:lvlText w:val="%5."/>
      <w:lvlJc w:val="left"/>
      <w:pPr>
        <w:ind w:left="3242" w:hanging="360"/>
      </w:pPr>
    </w:lvl>
    <w:lvl w:ilvl="5" w:tentative="0">
      <w:start w:val="1"/>
      <w:numFmt w:val="lowerRoman"/>
      <w:lvlText w:val="%6."/>
      <w:lvlJc w:val="right"/>
      <w:pPr>
        <w:ind w:left="3962" w:hanging="180"/>
      </w:pPr>
    </w:lvl>
    <w:lvl w:ilvl="6" w:tentative="0">
      <w:start w:val="1"/>
      <w:numFmt w:val="decimal"/>
      <w:lvlText w:val="%7."/>
      <w:lvlJc w:val="left"/>
      <w:pPr>
        <w:ind w:left="4682" w:hanging="360"/>
      </w:pPr>
    </w:lvl>
    <w:lvl w:ilvl="7" w:tentative="0">
      <w:start w:val="1"/>
      <w:numFmt w:val="lowerLetter"/>
      <w:lvlText w:val="%8."/>
      <w:lvlJc w:val="left"/>
      <w:pPr>
        <w:ind w:left="5402" w:hanging="360"/>
      </w:pPr>
    </w:lvl>
    <w:lvl w:ilvl="8" w:tentative="0">
      <w:start w:val="1"/>
      <w:numFmt w:val="lowerRoman"/>
      <w:lvlText w:val="%9."/>
      <w:lvlJc w:val="right"/>
      <w:pPr>
        <w:ind w:left="6122" w:hanging="180"/>
      </w:pPr>
    </w:lvl>
  </w:abstractNum>
  <w:num w:numId="1">
    <w:abstractNumId w:val="14"/>
  </w:num>
  <w:num w:numId="2">
    <w:abstractNumId w:val="22"/>
  </w:num>
  <w:num w:numId="3">
    <w:abstractNumId w:val="21"/>
  </w:num>
  <w:num w:numId="4">
    <w:abstractNumId w:val="0"/>
  </w:num>
  <w:num w:numId="5">
    <w:abstractNumId w:val="11"/>
  </w:num>
  <w:num w:numId="6">
    <w:abstractNumId w:val="9"/>
  </w:num>
  <w:num w:numId="7">
    <w:abstractNumId w:val="2"/>
  </w:num>
  <w:num w:numId="8">
    <w:abstractNumId w:val="20"/>
  </w:num>
  <w:num w:numId="9">
    <w:abstractNumId w:val="12"/>
  </w:num>
  <w:num w:numId="10">
    <w:abstractNumId w:val="23"/>
  </w:num>
  <w:num w:numId="11">
    <w:abstractNumId w:val="10"/>
  </w:num>
  <w:num w:numId="12">
    <w:abstractNumId w:val="5"/>
  </w:num>
  <w:num w:numId="13">
    <w:abstractNumId w:val="13"/>
  </w:num>
  <w:num w:numId="14">
    <w:abstractNumId w:val="3"/>
  </w:num>
  <w:num w:numId="15">
    <w:abstractNumId w:val="18"/>
  </w:num>
  <w:num w:numId="16">
    <w:abstractNumId w:val="4"/>
  </w:num>
  <w:num w:numId="17">
    <w:abstractNumId w:val="15"/>
  </w:num>
  <w:num w:numId="18">
    <w:abstractNumId w:val="7"/>
  </w:num>
  <w:num w:numId="19">
    <w:abstractNumId w:val="16"/>
  </w:num>
  <w:num w:numId="20">
    <w:abstractNumId w:val="1"/>
  </w:num>
  <w:num w:numId="21">
    <w:abstractNumId w:val="17"/>
  </w:num>
  <w:num w:numId="22">
    <w:abstractNumId w:val="6"/>
  </w:num>
  <w:num w:numId="23">
    <w:abstractNumId w:val="19"/>
  </w:num>
  <w:num w:numId="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ocumentProtection w:enforcement="0"/>
  <w:defaultTabStop w:val="720"/>
  <w:hyphenationZone w:val="425"/>
  <w:displayHorizontalDrawingGridEvery w:val="0"/>
  <w:displayVerticalDrawingGridEvery w:val="0"/>
  <w:doNotUseMarginsForDrawingGridOrigin w:val="1"/>
  <w:drawingGridHorizontalOrigin w:val="1701"/>
  <w:drawingGridVerticalOrigin w:val="1984"/>
  <w:noPunctuationKerning w:val="1"/>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2429"/>
    <w:rsid w:val="000033DA"/>
    <w:rsid w:val="000063C4"/>
    <w:rsid w:val="000074E4"/>
    <w:rsid w:val="00014D0B"/>
    <w:rsid w:val="00017C0F"/>
    <w:rsid w:val="00024741"/>
    <w:rsid w:val="00026370"/>
    <w:rsid w:val="00026448"/>
    <w:rsid w:val="00026D87"/>
    <w:rsid w:val="000379E3"/>
    <w:rsid w:val="00040816"/>
    <w:rsid w:val="0004174A"/>
    <w:rsid w:val="000424D8"/>
    <w:rsid w:val="00046C04"/>
    <w:rsid w:val="000476B6"/>
    <w:rsid w:val="000548A9"/>
    <w:rsid w:val="000701E2"/>
    <w:rsid w:val="00072142"/>
    <w:rsid w:val="000725DF"/>
    <w:rsid w:val="000742C9"/>
    <w:rsid w:val="00074CD1"/>
    <w:rsid w:val="00083AC6"/>
    <w:rsid w:val="00086F31"/>
    <w:rsid w:val="00090909"/>
    <w:rsid w:val="00090E40"/>
    <w:rsid w:val="00091975"/>
    <w:rsid w:val="00092D8A"/>
    <w:rsid w:val="00097185"/>
    <w:rsid w:val="00097A5A"/>
    <w:rsid w:val="000A33F1"/>
    <w:rsid w:val="000A48D1"/>
    <w:rsid w:val="000B28F5"/>
    <w:rsid w:val="000B4373"/>
    <w:rsid w:val="000C30DF"/>
    <w:rsid w:val="000C3277"/>
    <w:rsid w:val="000C5CED"/>
    <w:rsid w:val="000C6EB5"/>
    <w:rsid w:val="000C7A25"/>
    <w:rsid w:val="000E1E9E"/>
    <w:rsid w:val="000E3053"/>
    <w:rsid w:val="000E30C7"/>
    <w:rsid w:val="000E792F"/>
    <w:rsid w:val="000F2AF5"/>
    <w:rsid w:val="000F5515"/>
    <w:rsid w:val="00103ADD"/>
    <w:rsid w:val="001143C3"/>
    <w:rsid w:val="00114AD8"/>
    <w:rsid w:val="0013055F"/>
    <w:rsid w:val="001322EE"/>
    <w:rsid w:val="0013365E"/>
    <w:rsid w:val="0013425B"/>
    <w:rsid w:val="00134DFF"/>
    <w:rsid w:val="0013743F"/>
    <w:rsid w:val="001379E3"/>
    <w:rsid w:val="00137FD9"/>
    <w:rsid w:val="00140795"/>
    <w:rsid w:val="0014223E"/>
    <w:rsid w:val="001457B5"/>
    <w:rsid w:val="001529C1"/>
    <w:rsid w:val="00153BED"/>
    <w:rsid w:val="001547E5"/>
    <w:rsid w:val="00156D8F"/>
    <w:rsid w:val="00161EF2"/>
    <w:rsid w:val="0016600A"/>
    <w:rsid w:val="00172B8A"/>
    <w:rsid w:val="0017419A"/>
    <w:rsid w:val="00174AD1"/>
    <w:rsid w:val="00175CA5"/>
    <w:rsid w:val="001773BC"/>
    <w:rsid w:val="0018515D"/>
    <w:rsid w:val="00192168"/>
    <w:rsid w:val="0019423E"/>
    <w:rsid w:val="00194746"/>
    <w:rsid w:val="00194983"/>
    <w:rsid w:val="001958EF"/>
    <w:rsid w:val="001A4747"/>
    <w:rsid w:val="001A6658"/>
    <w:rsid w:val="001A756A"/>
    <w:rsid w:val="001A7A60"/>
    <w:rsid w:val="001B11B4"/>
    <w:rsid w:val="001B1408"/>
    <w:rsid w:val="001B3F94"/>
    <w:rsid w:val="001B61BC"/>
    <w:rsid w:val="001C21E1"/>
    <w:rsid w:val="001D0062"/>
    <w:rsid w:val="001D1948"/>
    <w:rsid w:val="001D73B9"/>
    <w:rsid w:val="001E4A7E"/>
    <w:rsid w:val="001E78F0"/>
    <w:rsid w:val="001F7607"/>
    <w:rsid w:val="00202AB1"/>
    <w:rsid w:val="002078C1"/>
    <w:rsid w:val="00210B49"/>
    <w:rsid w:val="0021591A"/>
    <w:rsid w:val="002167BC"/>
    <w:rsid w:val="002174DC"/>
    <w:rsid w:val="002218B7"/>
    <w:rsid w:val="00221E18"/>
    <w:rsid w:val="00227DE2"/>
    <w:rsid w:val="00232669"/>
    <w:rsid w:val="00234392"/>
    <w:rsid w:val="00243358"/>
    <w:rsid w:val="002441FA"/>
    <w:rsid w:val="00252F92"/>
    <w:rsid w:val="002566D5"/>
    <w:rsid w:val="00256BC5"/>
    <w:rsid w:val="00263B54"/>
    <w:rsid w:val="00264D24"/>
    <w:rsid w:val="002652B5"/>
    <w:rsid w:val="00280AC6"/>
    <w:rsid w:val="00282A43"/>
    <w:rsid w:val="0029219B"/>
    <w:rsid w:val="00295C74"/>
    <w:rsid w:val="002A2F2A"/>
    <w:rsid w:val="002A675D"/>
    <w:rsid w:val="002B2D11"/>
    <w:rsid w:val="002C0B2A"/>
    <w:rsid w:val="002D4A28"/>
    <w:rsid w:val="002D6875"/>
    <w:rsid w:val="002D730F"/>
    <w:rsid w:val="002E15A7"/>
    <w:rsid w:val="002E1E5E"/>
    <w:rsid w:val="002E29DD"/>
    <w:rsid w:val="002E7156"/>
    <w:rsid w:val="002E7185"/>
    <w:rsid w:val="002E77DC"/>
    <w:rsid w:val="002F50B1"/>
    <w:rsid w:val="002F52F5"/>
    <w:rsid w:val="003004EA"/>
    <w:rsid w:val="00301D1F"/>
    <w:rsid w:val="00306602"/>
    <w:rsid w:val="00311FB0"/>
    <w:rsid w:val="00311FB3"/>
    <w:rsid w:val="0031246C"/>
    <w:rsid w:val="00315B93"/>
    <w:rsid w:val="0031697D"/>
    <w:rsid w:val="003203D6"/>
    <w:rsid w:val="00320C22"/>
    <w:rsid w:val="00323AE2"/>
    <w:rsid w:val="00326C15"/>
    <w:rsid w:val="00327DF7"/>
    <w:rsid w:val="00327E8B"/>
    <w:rsid w:val="00331235"/>
    <w:rsid w:val="0033186C"/>
    <w:rsid w:val="003378EE"/>
    <w:rsid w:val="00341B06"/>
    <w:rsid w:val="00345F90"/>
    <w:rsid w:val="00352E77"/>
    <w:rsid w:val="00363C6A"/>
    <w:rsid w:val="0037192E"/>
    <w:rsid w:val="0038036C"/>
    <w:rsid w:val="00383925"/>
    <w:rsid w:val="0038725B"/>
    <w:rsid w:val="003900E9"/>
    <w:rsid w:val="00391F5F"/>
    <w:rsid w:val="00391FFA"/>
    <w:rsid w:val="00394128"/>
    <w:rsid w:val="00396104"/>
    <w:rsid w:val="003B07A1"/>
    <w:rsid w:val="003B5B9D"/>
    <w:rsid w:val="003C1279"/>
    <w:rsid w:val="003C6476"/>
    <w:rsid w:val="003C7073"/>
    <w:rsid w:val="003D21BC"/>
    <w:rsid w:val="003E1548"/>
    <w:rsid w:val="003E2FEE"/>
    <w:rsid w:val="003E4783"/>
    <w:rsid w:val="003E50E9"/>
    <w:rsid w:val="003E6153"/>
    <w:rsid w:val="003F36CB"/>
    <w:rsid w:val="003F4020"/>
    <w:rsid w:val="0040459C"/>
    <w:rsid w:val="00410BD0"/>
    <w:rsid w:val="00412355"/>
    <w:rsid w:val="0042269F"/>
    <w:rsid w:val="004232B8"/>
    <w:rsid w:val="004248A8"/>
    <w:rsid w:val="00424AF0"/>
    <w:rsid w:val="00427A34"/>
    <w:rsid w:val="00432EEF"/>
    <w:rsid w:val="0043567E"/>
    <w:rsid w:val="004452D3"/>
    <w:rsid w:val="00455564"/>
    <w:rsid w:val="00456657"/>
    <w:rsid w:val="004569A8"/>
    <w:rsid w:val="004709DB"/>
    <w:rsid w:val="00471B74"/>
    <w:rsid w:val="00474833"/>
    <w:rsid w:val="0048021C"/>
    <w:rsid w:val="00487E8C"/>
    <w:rsid w:val="00493F05"/>
    <w:rsid w:val="00495F8B"/>
    <w:rsid w:val="0049655B"/>
    <w:rsid w:val="00496DF9"/>
    <w:rsid w:val="004A0561"/>
    <w:rsid w:val="004A06B5"/>
    <w:rsid w:val="004B4FC3"/>
    <w:rsid w:val="004C0555"/>
    <w:rsid w:val="004C4C6F"/>
    <w:rsid w:val="004C590E"/>
    <w:rsid w:val="004C660D"/>
    <w:rsid w:val="004D505D"/>
    <w:rsid w:val="004E1EDD"/>
    <w:rsid w:val="004E2EE3"/>
    <w:rsid w:val="004E4AA0"/>
    <w:rsid w:val="004F0066"/>
    <w:rsid w:val="004F03C5"/>
    <w:rsid w:val="004F39CE"/>
    <w:rsid w:val="0050463F"/>
    <w:rsid w:val="00505058"/>
    <w:rsid w:val="00510E50"/>
    <w:rsid w:val="005124D3"/>
    <w:rsid w:val="0051468D"/>
    <w:rsid w:val="00514F0E"/>
    <w:rsid w:val="0052279F"/>
    <w:rsid w:val="00524C83"/>
    <w:rsid w:val="00526051"/>
    <w:rsid w:val="005331B3"/>
    <w:rsid w:val="005359CA"/>
    <w:rsid w:val="0054288A"/>
    <w:rsid w:val="00556795"/>
    <w:rsid w:val="00556BD4"/>
    <w:rsid w:val="005577A3"/>
    <w:rsid w:val="00567CF8"/>
    <w:rsid w:val="00573822"/>
    <w:rsid w:val="005826D5"/>
    <w:rsid w:val="00587EF1"/>
    <w:rsid w:val="00591530"/>
    <w:rsid w:val="005956B6"/>
    <w:rsid w:val="005A014D"/>
    <w:rsid w:val="005A24A6"/>
    <w:rsid w:val="005A6A64"/>
    <w:rsid w:val="005A6D8A"/>
    <w:rsid w:val="005A7E67"/>
    <w:rsid w:val="005B6E4E"/>
    <w:rsid w:val="005C021C"/>
    <w:rsid w:val="005C2035"/>
    <w:rsid w:val="005C2E75"/>
    <w:rsid w:val="005C4B4D"/>
    <w:rsid w:val="005C5AB5"/>
    <w:rsid w:val="005C60C2"/>
    <w:rsid w:val="005C6C22"/>
    <w:rsid w:val="005D5243"/>
    <w:rsid w:val="005D5988"/>
    <w:rsid w:val="005D5C55"/>
    <w:rsid w:val="005D62D7"/>
    <w:rsid w:val="005E308F"/>
    <w:rsid w:val="005E38CA"/>
    <w:rsid w:val="005E4275"/>
    <w:rsid w:val="005F6217"/>
    <w:rsid w:val="006002C8"/>
    <w:rsid w:val="00607F48"/>
    <w:rsid w:val="00622410"/>
    <w:rsid w:val="00631888"/>
    <w:rsid w:val="00632C75"/>
    <w:rsid w:val="0063380A"/>
    <w:rsid w:val="00636AF7"/>
    <w:rsid w:val="00640242"/>
    <w:rsid w:val="00650C56"/>
    <w:rsid w:val="00652950"/>
    <w:rsid w:val="00652CAC"/>
    <w:rsid w:val="006551C1"/>
    <w:rsid w:val="006575B3"/>
    <w:rsid w:val="006660AF"/>
    <w:rsid w:val="00670320"/>
    <w:rsid w:val="00673D6E"/>
    <w:rsid w:val="00675277"/>
    <w:rsid w:val="006754E9"/>
    <w:rsid w:val="006838B0"/>
    <w:rsid w:val="00684BF9"/>
    <w:rsid w:val="00685173"/>
    <w:rsid w:val="006872C2"/>
    <w:rsid w:val="00693828"/>
    <w:rsid w:val="006A009D"/>
    <w:rsid w:val="006A1548"/>
    <w:rsid w:val="006A4887"/>
    <w:rsid w:val="006A6E99"/>
    <w:rsid w:val="006B3D8F"/>
    <w:rsid w:val="006C45C2"/>
    <w:rsid w:val="006C6808"/>
    <w:rsid w:val="006E63A9"/>
    <w:rsid w:val="006F15F2"/>
    <w:rsid w:val="006F4D14"/>
    <w:rsid w:val="00701B19"/>
    <w:rsid w:val="0071202A"/>
    <w:rsid w:val="00712AAB"/>
    <w:rsid w:val="0071464C"/>
    <w:rsid w:val="0071538F"/>
    <w:rsid w:val="007205CF"/>
    <w:rsid w:val="00721263"/>
    <w:rsid w:val="0072169E"/>
    <w:rsid w:val="00725340"/>
    <w:rsid w:val="00734052"/>
    <w:rsid w:val="00741905"/>
    <w:rsid w:val="007509DC"/>
    <w:rsid w:val="00751AE4"/>
    <w:rsid w:val="007602B0"/>
    <w:rsid w:val="00762952"/>
    <w:rsid w:val="00764135"/>
    <w:rsid w:val="00771182"/>
    <w:rsid w:val="007739B9"/>
    <w:rsid w:val="00773A40"/>
    <w:rsid w:val="00777579"/>
    <w:rsid w:val="0078262E"/>
    <w:rsid w:val="0079632E"/>
    <w:rsid w:val="007A06E5"/>
    <w:rsid w:val="007A26A3"/>
    <w:rsid w:val="007A4A4E"/>
    <w:rsid w:val="007A663D"/>
    <w:rsid w:val="007B23D0"/>
    <w:rsid w:val="007C04A3"/>
    <w:rsid w:val="007C0834"/>
    <w:rsid w:val="007C37EC"/>
    <w:rsid w:val="007D56A2"/>
    <w:rsid w:val="007D7963"/>
    <w:rsid w:val="007D79A4"/>
    <w:rsid w:val="007E4FCA"/>
    <w:rsid w:val="007F1F4D"/>
    <w:rsid w:val="007F4D10"/>
    <w:rsid w:val="008050DC"/>
    <w:rsid w:val="008053E2"/>
    <w:rsid w:val="00811305"/>
    <w:rsid w:val="0081136F"/>
    <w:rsid w:val="00814E89"/>
    <w:rsid w:val="00816176"/>
    <w:rsid w:val="008164FF"/>
    <w:rsid w:val="00820563"/>
    <w:rsid w:val="00820EA5"/>
    <w:rsid w:val="00821CF5"/>
    <w:rsid w:val="00823EE0"/>
    <w:rsid w:val="008248EB"/>
    <w:rsid w:val="0084206C"/>
    <w:rsid w:val="008465BD"/>
    <w:rsid w:val="0085130A"/>
    <w:rsid w:val="0085300C"/>
    <w:rsid w:val="008553A6"/>
    <w:rsid w:val="00856CD6"/>
    <w:rsid w:val="00867B75"/>
    <w:rsid w:val="008707CB"/>
    <w:rsid w:val="0088003D"/>
    <w:rsid w:val="008818B9"/>
    <w:rsid w:val="00881A65"/>
    <w:rsid w:val="00885DBA"/>
    <w:rsid w:val="0088620C"/>
    <w:rsid w:val="00886CED"/>
    <w:rsid w:val="008A2320"/>
    <w:rsid w:val="008A368E"/>
    <w:rsid w:val="008A6A2A"/>
    <w:rsid w:val="008A776D"/>
    <w:rsid w:val="008B4B14"/>
    <w:rsid w:val="008C673F"/>
    <w:rsid w:val="008C6817"/>
    <w:rsid w:val="008D5E26"/>
    <w:rsid w:val="008E213D"/>
    <w:rsid w:val="008E2BB3"/>
    <w:rsid w:val="008E7DD4"/>
    <w:rsid w:val="008F1971"/>
    <w:rsid w:val="008F5235"/>
    <w:rsid w:val="0090660B"/>
    <w:rsid w:val="00907349"/>
    <w:rsid w:val="009112A3"/>
    <w:rsid w:val="0091219B"/>
    <w:rsid w:val="00914160"/>
    <w:rsid w:val="009160FA"/>
    <w:rsid w:val="00927085"/>
    <w:rsid w:val="00933311"/>
    <w:rsid w:val="009359EE"/>
    <w:rsid w:val="0093716A"/>
    <w:rsid w:val="00937570"/>
    <w:rsid w:val="00940377"/>
    <w:rsid w:val="00941179"/>
    <w:rsid w:val="0094186A"/>
    <w:rsid w:val="00945555"/>
    <w:rsid w:val="009529F2"/>
    <w:rsid w:val="00957664"/>
    <w:rsid w:val="00962713"/>
    <w:rsid w:val="0096330D"/>
    <w:rsid w:val="00963727"/>
    <w:rsid w:val="00967570"/>
    <w:rsid w:val="009735EC"/>
    <w:rsid w:val="00975794"/>
    <w:rsid w:val="0098692F"/>
    <w:rsid w:val="00987C27"/>
    <w:rsid w:val="00991EC0"/>
    <w:rsid w:val="00994383"/>
    <w:rsid w:val="009A065B"/>
    <w:rsid w:val="009A069E"/>
    <w:rsid w:val="009A3082"/>
    <w:rsid w:val="009C1550"/>
    <w:rsid w:val="009D069E"/>
    <w:rsid w:val="009D42D7"/>
    <w:rsid w:val="009E5D6C"/>
    <w:rsid w:val="009E6B44"/>
    <w:rsid w:val="009F44B5"/>
    <w:rsid w:val="009F6C59"/>
    <w:rsid w:val="00A05540"/>
    <w:rsid w:val="00A07CFF"/>
    <w:rsid w:val="00A317E9"/>
    <w:rsid w:val="00A3308A"/>
    <w:rsid w:val="00A406DD"/>
    <w:rsid w:val="00A4527D"/>
    <w:rsid w:val="00A47933"/>
    <w:rsid w:val="00A47F1B"/>
    <w:rsid w:val="00A73327"/>
    <w:rsid w:val="00A7353B"/>
    <w:rsid w:val="00A7379F"/>
    <w:rsid w:val="00A73C8D"/>
    <w:rsid w:val="00A80B7F"/>
    <w:rsid w:val="00A83BF7"/>
    <w:rsid w:val="00A87E4F"/>
    <w:rsid w:val="00A9493C"/>
    <w:rsid w:val="00A9631E"/>
    <w:rsid w:val="00A97252"/>
    <w:rsid w:val="00AA0412"/>
    <w:rsid w:val="00AA2C55"/>
    <w:rsid w:val="00AB1DDE"/>
    <w:rsid w:val="00AB4753"/>
    <w:rsid w:val="00AB724D"/>
    <w:rsid w:val="00AC3753"/>
    <w:rsid w:val="00AD0CD9"/>
    <w:rsid w:val="00AD725A"/>
    <w:rsid w:val="00AE4472"/>
    <w:rsid w:val="00AE53B6"/>
    <w:rsid w:val="00AF1BF0"/>
    <w:rsid w:val="00AF21D5"/>
    <w:rsid w:val="00B054DD"/>
    <w:rsid w:val="00B128D3"/>
    <w:rsid w:val="00B131FB"/>
    <w:rsid w:val="00B165C0"/>
    <w:rsid w:val="00B20AC6"/>
    <w:rsid w:val="00B22D26"/>
    <w:rsid w:val="00B24DB4"/>
    <w:rsid w:val="00B305E2"/>
    <w:rsid w:val="00B331BB"/>
    <w:rsid w:val="00B37CFA"/>
    <w:rsid w:val="00B41D02"/>
    <w:rsid w:val="00B41FD6"/>
    <w:rsid w:val="00B45811"/>
    <w:rsid w:val="00B5339E"/>
    <w:rsid w:val="00B54D13"/>
    <w:rsid w:val="00B56AB6"/>
    <w:rsid w:val="00B7141E"/>
    <w:rsid w:val="00B776BB"/>
    <w:rsid w:val="00B81BFC"/>
    <w:rsid w:val="00B82DB1"/>
    <w:rsid w:val="00B90CA2"/>
    <w:rsid w:val="00B92FC1"/>
    <w:rsid w:val="00BA10D7"/>
    <w:rsid w:val="00BA165F"/>
    <w:rsid w:val="00BA53D2"/>
    <w:rsid w:val="00BA6056"/>
    <w:rsid w:val="00BA6B6B"/>
    <w:rsid w:val="00BB63CB"/>
    <w:rsid w:val="00BC27D1"/>
    <w:rsid w:val="00BC6DD3"/>
    <w:rsid w:val="00BD2B6B"/>
    <w:rsid w:val="00BD64FE"/>
    <w:rsid w:val="00BD6546"/>
    <w:rsid w:val="00BD7AA9"/>
    <w:rsid w:val="00BE4602"/>
    <w:rsid w:val="00BE4E12"/>
    <w:rsid w:val="00BE5EE5"/>
    <w:rsid w:val="00BE5FA5"/>
    <w:rsid w:val="00BE639F"/>
    <w:rsid w:val="00BE712E"/>
    <w:rsid w:val="00BF0185"/>
    <w:rsid w:val="00BF0215"/>
    <w:rsid w:val="00BF3E01"/>
    <w:rsid w:val="00BF5AA7"/>
    <w:rsid w:val="00BF6F4C"/>
    <w:rsid w:val="00BF7819"/>
    <w:rsid w:val="00C009CF"/>
    <w:rsid w:val="00C0134A"/>
    <w:rsid w:val="00C0327C"/>
    <w:rsid w:val="00C043F2"/>
    <w:rsid w:val="00C04A02"/>
    <w:rsid w:val="00C05D7A"/>
    <w:rsid w:val="00C07E3A"/>
    <w:rsid w:val="00C15521"/>
    <w:rsid w:val="00C16540"/>
    <w:rsid w:val="00C16CBE"/>
    <w:rsid w:val="00C17F4C"/>
    <w:rsid w:val="00C21785"/>
    <w:rsid w:val="00C231DE"/>
    <w:rsid w:val="00C2522A"/>
    <w:rsid w:val="00C3094C"/>
    <w:rsid w:val="00C32DDA"/>
    <w:rsid w:val="00C33F84"/>
    <w:rsid w:val="00C35595"/>
    <w:rsid w:val="00C36CE1"/>
    <w:rsid w:val="00C3792B"/>
    <w:rsid w:val="00C43C0C"/>
    <w:rsid w:val="00C43F8B"/>
    <w:rsid w:val="00C50557"/>
    <w:rsid w:val="00C50DF5"/>
    <w:rsid w:val="00C53918"/>
    <w:rsid w:val="00C53D69"/>
    <w:rsid w:val="00C55737"/>
    <w:rsid w:val="00C60603"/>
    <w:rsid w:val="00C662C1"/>
    <w:rsid w:val="00C66FDA"/>
    <w:rsid w:val="00C67D6C"/>
    <w:rsid w:val="00C73F58"/>
    <w:rsid w:val="00C76EDF"/>
    <w:rsid w:val="00C82719"/>
    <w:rsid w:val="00C83670"/>
    <w:rsid w:val="00C87003"/>
    <w:rsid w:val="00C93354"/>
    <w:rsid w:val="00CA285D"/>
    <w:rsid w:val="00CA382A"/>
    <w:rsid w:val="00CA41AB"/>
    <w:rsid w:val="00CA62FA"/>
    <w:rsid w:val="00CB416E"/>
    <w:rsid w:val="00CD6EF5"/>
    <w:rsid w:val="00CE0E41"/>
    <w:rsid w:val="00CE4ACB"/>
    <w:rsid w:val="00CE7647"/>
    <w:rsid w:val="00CF6EBF"/>
    <w:rsid w:val="00D02738"/>
    <w:rsid w:val="00D0276E"/>
    <w:rsid w:val="00D04BE7"/>
    <w:rsid w:val="00D15267"/>
    <w:rsid w:val="00D161E7"/>
    <w:rsid w:val="00D16D1B"/>
    <w:rsid w:val="00D25BD4"/>
    <w:rsid w:val="00D32FC0"/>
    <w:rsid w:val="00D3409D"/>
    <w:rsid w:val="00D4042A"/>
    <w:rsid w:val="00D423A8"/>
    <w:rsid w:val="00D510CA"/>
    <w:rsid w:val="00D5485C"/>
    <w:rsid w:val="00D566D7"/>
    <w:rsid w:val="00D629B0"/>
    <w:rsid w:val="00D749F4"/>
    <w:rsid w:val="00D77941"/>
    <w:rsid w:val="00D90DC5"/>
    <w:rsid w:val="00D935A0"/>
    <w:rsid w:val="00D939C5"/>
    <w:rsid w:val="00D93CDF"/>
    <w:rsid w:val="00D94E7A"/>
    <w:rsid w:val="00D9634F"/>
    <w:rsid w:val="00D969F7"/>
    <w:rsid w:val="00DA1D1B"/>
    <w:rsid w:val="00DA6078"/>
    <w:rsid w:val="00DA60EA"/>
    <w:rsid w:val="00DB091C"/>
    <w:rsid w:val="00DB3EE8"/>
    <w:rsid w:val="00DB522A"/>
    <w:rsid w:val="00DB7155"/>
    <w:rsid w:val="00DB7E24"/>
    <w:rsid w:val="00DD1D7F"/>
    <w:rsid w:val="00DD49A3"/>
    <w:rsid w:val="00DD76B9"/>
    <w:rsid w:val="00DD78C7"/>
    <w:rsid w:val="00DE36B1"/>
    <w:rsid w:val="00DE6A65"/>
    <w:rsid w:val="00DF207D"/>
    <w:rsid w:val="00DF2FFD"/>
    <w:rsid w:val="00DF56A3"/>
    <w:rsid w:val="00E073BC"/>
    <w:rsid w:val="00E11CC0"/>
    <w:rsid w:val="00E13D39"/>
    <w:rsid w:val="00E23BF1"/>
    <w:rsid w:val="00E40124"/>
    <w:rsid w:val="00E45708"/>
    <w:rsid w:val="00E52B50"/>
    <w:rsid w:val="00E61E06"/>
    <w:rsid w:val="00E777EC"/>
    <w:rsid w:val="00E81013"/>
    <w:rsid w:val="00E813E1"/>
    <w:rsid w:val="00E85D01"/>
    <w:rsid w:val="00E92094"/>
    <w:rsid w:val="00E96BF5"/>
    <w:rsid w:val="00EA0104"/>
    <w:rsid w:val="00EA0B9A"/>
    <w:rsid w:val="00EA18BD"/>
    <w:rsid w:val="00EA6D9F"/>
    <w:rsid w:val="00EB3C2B"/>
    <w:rsid w:val="00EB561F"/>
    <w:rsid w:val="00EC6DF0"/>
    <w:rsid w:val="00ED425D"/>
    <w:rsid w:val="00ED59F7"/>
    <w:rsid w:val="00ED63E4"/>
    <w:rsid w:val="00EE22A6"/>
    <w:rsid w:val="00EE4FD3"/>
    <w:rsid w:val="00EF13EC"/>
    <w:rsid w:val="00EF787D"/>
    <w:rsid w:val="00F014E4"/>
    <w:rsid w:val="00F047E7"/>
    <w:rsid w:val="00F15082"/>
    <w:rsid w:val="00F16A94"/>
    <w:rsid w:val="00F17968"/>
    <w:rsid w:val="00F2375F"/>
    <w:rsid w:val="00F242C8"/>
    <w:rsid w:val="00F24481"/>
    <w:rsid w:val="00F3003E"/>
    <w:rsid w:val="00F31749"/>
    <w:rsid w:val="00F358EB"/>
    <w:rsid w:val="00F35ECF"/>
    <w:rsid w:val="00F37F77"/>
    <w:rsid w:val="00F444C9"/>
    <w:rsid w:val="00F5024C"/>
    <w:rsid w:val="00F514F8"/>
    <w:rsid w:val="00F51B13"/>
    <w:rsid w:val="00F61CED"/>
    <w:rsid w:val="00F61E35"/>
    <w:rsid w:val="00F62429"/>
    <w:rsid w:val="00F63CD5"/>
    <w:rsid w:val="00F66129"/>
    <w:rsid w:val="00F71439"/>
    <w:rsid w:val="00F763CE"/>
    <w:rsid w:val="00F80641"/>
    <w:rsid w:val="00F83096"/>
    <w:rsid w:val="00F87A4E"/>
    <w:rsid w:val="00F90946"/>
    <w:rsid w:val="00FA0EEB"/>
    <w:rsid w:val="00FA11B2"/>
    <w:rsid w:val="00FA282E"/>
    <w:rsid w:val="00FA4EC9"/>
    <w:rsid w:val="00FB0F7C"/>
    <w:rsid w:val="00FC03CB"/>
    <w:rsid w:val="00FC35ED"/>
    <w:rsid w:val="00FC5208"/>
    <w:rsid w:val="00FD0EF0"/>
    <w:rsid w:val="00FD3B3B"/>
    <w:rsid w:val="00FD3B9D"/>
    <w:rsid w:val="00FE1836"/>
    <w:rsid w:val="00FF02B2"/>
    <w:rsid w:val="00FF47DA"/>
    <w:rsid w:val="2CD0580C"/>
    <w:rsid w:val="3AB95B0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nhideWhenUsed="0" w:uiPriority="0" w:name="footnote text"/>
    <w:lsdException w:unhideWhenUsed="0" w:uiPriority="99" w:semiHidden="0" w:name="annotation text"/>
    <w:lsdException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nhideWhenUsed="0" w:uiPriority="0" w:name="footnote reference"/>
    <w:lsdException w:unhideWhenUsed="0"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pPr>
      <w:spacing w:after="160" w:line="259" w:lineRule="auto"/>
    </w:pPr>
    <w:rPr>
      <w:rFonts w:ascii="Calibri" w:hAnsi="Calibri" w:eastAsia="Calibri" w:cs="Times New Roman"/>
      <w:sz w:val="22"/>
      <w:szCs w:val="22"/>
      <w:lang w:val="uk-UA" w:eastAsia="en-US" w:bidi="ar-SA"/>
    </w:rPr>
  </w:style>
  <w:style w:type="paragraph" w:styleId="2">
    <w:name w:val="heading 1"/>
    <w:basedOn w:val="1"/>
    <w:next w:val="1"/>
    <w:link w:val="41"/>
    <w:qFormat/>
    <w:uiPriority w:val="0"/>
    <w:pPr>
      <w:keepNext/>
      <w:jc w:val="left"/>
      <w:outlineLvl w:val="0"/>
    </w:pPr>
    <w:rPr>
      <w:b/>
      <w:i/>
      <w:sz w:val="22"/>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styleId="5">
    <w:name w:val="footnote reference"/>
    <w:semiHidden/>
    <w:uiPriority w:val="0"/>
    <w:rPr>
      <w:vertAlign w:val="superscript"/>
    </w:rPr>
  </w:style>
  <w:style w:type="character" w:styleId="6">
    <w:name w:val="annotation reference"/>
    <w:semiHidden/>
    <w:uiPriority w:val="0"/>
    <w:rPr>
      <w:sz w:val="16"/>
    </w:rPr>
  </w:style>
  <w:style w:type="character" w:styleId="7">
    <w:name w:val="page number"/>
    <w:uiPriority w:val="0"/>
    <w:rPr>
      <w:sz w:val="24"/>
    </w:rPr>
  </w:style>
  <w:style w:type="character" w:styleId="8">
    <w:name w:val="Strong"/>
    <w:qFormat/>
    <w:uiPriority w:val="22"/>
    <w:rPr>
      <w:b/>
      <w:bCs/>
    </w:rPr>
  </w:style>
  <w:style w:type="paragraph" w:styleId="9">
    <w:name w:val="Balloon Text"/>
    <w:basedOn w:val="1"/>
    <w:link w:val="30"/>
    <w:semiHidden/>
    <w:unhideWhenUsed/>
    <w:uiPriority w:val="0"/>
    <w:pPr>
      <w:spacing w:after="0" w:line="240" w:lineRule="auto"/>
    </w:pPr>
    <w:rPr>
      <w:rFonts w:ascii="Segoe UI" w:hAnsi="Segoe UI" w:cs="Segoe UI"/>
      <w:sz w:val="18"/>
      <w:szCs w:val="18"/>
    </w:rPr>
  </w:style>
  <w:style w:type="paragraph" w:styleId="10">
    <w:name w:val="annotation text"/>
    <w:basedOn w:val="1"/>
    <w:link w:val="34"/>
    <w:uiPriority w:val="99"/>
    <w:rPr>
      <w:sz w:val="20"/>
    </w:rPr>
  </w:style>
  <w:style w:type="paragraph" w:styleId="11">
    <w:name w:val="annotation subject"/>
    <w:basedOn w:val="10"/>
    <w:next w:val="10"/>
    <w:link w:val="39"/>
    <w:semiHidden/>
    <w:unhideWhenUsed/>
    <w:uiPriority w:val="0"/>
    <w:rPr>
      <w:b/>
      <w:bCs/>
      <w:szCs w:val="20"/>
    </w:rPr>
  </w:style>
  <w:style w:type="paragraph" w:styleId="12">
    <w:name w:val="footnote text"/>
    <w:basedOn w:val="1"/>
    <w:link w:val="43"/>
    <w:semiHidden/>
    <w:uiPriority w:val="0"/>
    <w:rPr>
      <w:sz w:val="20"/>
    </w:rPr>
  </w:style>
  <w:style w:type="paragraph" w:styleId="13">
    <w:name w:val="header"/>
    <w:basedOn w:val="1"/>
    <w:link w:val="42"/>
    <w:uiPriority w:val="0"/>
    <w:pPr>
      <w:tabs>
        <w:tab w:val="center" w:pos="4153"/>
        <w:tab w:val="right" w:pos="8306"/>
      </w:tabs>
    </w:pPr>
  </w:style>
  <w:style w:type="paragraph" w:styleId="14">
    <w:name w:val="Body Text Indent"/>
    <w:basedOn w:val="1"/>
    <w:link w:val="35"/>
    <w:uiPriority w:val="0"/>
    <w:pPr>
      <w:ind w:firstLine="720"/>
      <w:jc w:val="both"/>
    </w:pPr>
  </w:style>
  <w:style w:type="paragraph" w:styleId="15">
    <w:name w:val="footer"/>
    <w:basedOn w:val="1"/>
    <w:link w:val="37"/>
    <w:uiPriority w:val="0"/>
    <w:pPr>
      <w:tabs>
        <w:tab w:val="center" w:pos="4677"/>
        <w:tab w:val="right" w:pos="9355"/>
      </w:tabs>
      <w:jc w:val="left"/>
    </w:pPr>
    <w:rPr>
      <w:sz w:val="16"/>
      <w:szCs w:val="22"/>
      <w:lang w:val="en-US" w:eastAsia="en-US"/>
    </w:rPr>
  </w:style>
  <w:style w:type="paragraph" w:styleId="16">
    <w:name w:val="List Number"/>
    <w:basedOn w:val="1"/>
    <w:uiPriority w:val="0"/>
  </w:style>
  <w:style w:type="paragraph" w:styleId="17">
    <w:name w:val="Normal (Web)"/>
    <w:basedOn w:val="1"/>
    <w:link w:val="44"/>
    <w:uiPriority w:val="0"/>
    <w:pPr>
      <w:spacing w:after="0" w:line="240" w:lineRule="auto"/>
      <w:ind w:firstLine="720"/>
      <w:jc w:val="both"/>
    </w:pPr>
    <w:rPr>
      <w:rFonts w:ascii="Times New Roman" w:hAnsi="Times New Roman" w:eastAsia="Times New Roman"/>
      <w:sz w:val="24"/>
      <w:szCs w:val="24"/>
      <w:lang w:eastAsia="ru-RU"/>
    </w:rPr>
  </w:style>
  <w:style w:type="paragraph" w:styleId="18">
    <w:name w:val="Subtitle"/>
    <w:basedOn w:val="1"/>
    <w:next w:val="1"/>
    <w:link w:val="36"/>
    <w:qFormat/>
    <w:uiPriority w:val="0"/>
    <w:pPr>
      <w:spacing w:after="60" w:line="276" w:lineRule="auto"/>
      <w:jc w:val="center"/>
      <w:outlineLvl w:val="1"/>
    </w:pPr>
    <w:rPr>
      <w:rFonts w:ascii="Cambria" w:hAnsi="Cambria" w:eastAsia="Times New Roman"/>
      <w:sz w:val="24"/>
      <w:szCs w:val="24"/>
    </w:rPr>
  </w:style>
  <w:style w:type="table" w:styleId="19">
    <w:name w:val="Table Grid"/>
    <w:basedOn w:val="4"/>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0">
    <w:name w:val="1-ПУНКТ ПОСТАНОВИ"/>
    <w:next w:val="21"/>
    <w:uiPriority w:val="0"/>
    <w:pPr>
      <w:keepNext/>
      <w:keepLines/>
      <w:tabs>
        <w:tab w:val="left" w:pos="1134"/>
      </w:tabs>
      <w:spacing w:before="360"/>
      <w:ind w:firstLine="720"/>
      <w:jc w:val="both"/>
    </w:pPr>
    <w:rPr>
      <w:rFonts w:ascii="Times New Roman" w:hAnsi="Times New Roman" w:eastAsia="Times New Roman" w:cs="Times New Roman"/>
      <w:sz w:val="28"/>
      <w:szCs w:val="28"/>
      <w:lang w:val="uk-UA" w:eastAsia="ru-RU" w:bidi="ar-SA"/>
    </w:rPr>
  </w:style>
  <w:style w:type="paragraph" w:customStyle="1" w:styleId="21">
    <w:name w:val="2-ТВК №"/>
    <w:basedOn w:val="1"/>
    <w:next w:val="1"/>
    <w:uiPriority w:val="0"/>
    <w:pPr>
      <w:keepNext/>
      <w:keepLines/>
      <w:spacing w:before="60"/>
    </w:pPr>
    <w:rPr>
      <w:b/>
      <w:szCs w:val="28"/>
    </w:rPr>
  </w:style>
  <w:style w:type="paragraph" w:customStyle="1" w:styleId="22">
    <w:name w:val="0-ДОДАТОК"/>
    <w:basedOn w:val="1"/>
    <w:next w:val="1"/>
    <w:uiPriority w:val="0"/>
    <w:pPr>
      <w:keepLines/>
      <w:ind w:left="4536"/>
      <w:jc w:val="center"/>
    </w:pPr>
    <w:rPr>
      <w:b/>
      <w:i/>
      <w:sz w:val="24"/>
      <w:szCs w:val="24"/>
    </w:rPr>
  </w:style>
  <w:style w:type="paragraph" w:customStyle="1" w:styleId="23">
    <w:name w:val="Стиль1"/>
    <w:basedOn w:val="1"/>
    <w:next w:val="1"/>
    <w:uiPriority w:val="0"/>
    <w:pPr>
      <w:spacing w:before="120"/>
      <w:jc w:val="center"/>
    </w:pPr>
    <w:rPr>
      <w:b/>
      <w:caps/>
    </w:rPr>
  </w:style>
  <w:style w:type="paragraph" w:customStyle="1" w:styleId="24">
    <w:name w:val="Стиль2"/>
    <w:basedOn w:val="1"/>
    <w:next w:val="1"/>
    <w:uiPriority w:val="0"/>
    <w:pPr>
      <w:jc w:val="center"/>
    </w:pPr>
    <w:rPr>
      <w:b/>
    </w:rPr>
  </w:style>
  <w:style w:type="paragraph" w:customStyle="1" w:styleId="25">
    <w:name w:val="3-ЧЛЕН ОВК"/>
    <w:next w:val="21"/>
    <w:uiPriority w:val="0"/>
    <w:pPr>
      <w:keepLines/>
      <w:ind w:firstLine="720"/>
      <w:jc w:val="both"/>
    </w:pPr>
    <w:rPr>
      <w:rFonts w:ascii="Times New Roman" w:hAnsi="Times New Roman" w:eastAsia="Times New Roman" w:cs="Times New Roman"/>
      <w:sz w:val="28"/>
      <w:lang w:val="uk-UA" w:eastAsia="ru-RU" w:bidi="ar-SA"/>
    </w:rPr>
  </w:style>
  <w:style w:type="paragraph" w:customStyle="1" w:styleId="26">
    <w:name w:val="Стиль3"/>
    <w:basedOn w:val="1"/>
    <w:next w:val="1"/>
    <w:uiPriority w:val="0"/>
    <w:pPr>
      <w:spacing w:before="120"/>
      <w:jc w:val="center"/>
    </w:pPr>
    <w:rPr>
      <w:b/>
      <w:i/>
    </w:rPr>
  </w:style>
  <w:style w:type="paragraph" w:customStyle="1" w:styleId="27">
    <w:name w:val="Стиль4"/>
    <w:basedOn w:val="1"/>
    <w:next w:val="1"/>
    <w:uiPriority w:val="0"/>
    <w:pPr>
      <w:spacing w:before="120"/>
      <w:ind w:left="2308" w:hanging="1588"/>
      <w:jc w:val="left"/>
    </w:pPr>
    <w:rPr>
      <w:b/>
      <w:i/>
    </w:rPr>
  </w:style>
  <w:style w:type="paragraph" w:customStyle="1" w:styleId="28">
    <w:name w:val="Стиль5"/>
    <w:basedOn w:val="16"/>
    <w:uiPriority w:val="0"/>
    <w:pPr>
      <w:numPr>
        <w:ilvl w:val="0"/>
        <w:numId w:val="1"/>
      </w:numPr>
    </w:pPr>
  </w:style>
  <w:style w:type="paragraph" w:customStyle="1" w:styleId="29">
    <w:name w:val="Стиль6"/>
    <w:basedOn w:val="16"/>
    <w:uiPriority w:val="0"/>
    <w:pPr>
      <w:numPr>
        <w:ilvl w:val="0"/>
        <w:numId w:val="2"/>
      </w:numPr>
      <w:tabs>
        <w:tab w:val="left" w:pos="993"/>
      </w:tabs>
    </w:pPr>
  </w:style>
  <w:style w:type="character" w:customStyle="1" w:styleId="30">
    <w:name w:val="Текст у виносці Знак"/>
    <w:link w:val="9"/>
    <w:semiHidden/>
    <w:uiPriority w:val="0"/>
    <w:rPr>
      <w:rFonts w:ascii="Segoe UI" w:hAnsi="Segoe UI" w:eastAsia="Calibri" w:cs="Segoe UI"/>
      <w:sz w:val="18"/>
      <w:szCs w:val="18"/>
      <w:lang w:eastAsia="en-US"/>
    </w:rPr>
  </w:style>
  <w:style w:type="character" w:customStyle="1" w:styleId="31">
    <w:name w:val="rvts9"/>
    <w:uiPriority w:val="0"/>
  </w:style>
  <w:style w:type="character" w:customStyle="1" w:styleId="32">
    <w:name w:val="rvts37"/>
    <w:uiPriority w:val="0"/>
  </w:style>
  <w:style w:type="paragraph" w:customStyle="1" w:styleId="33">
    <w:name w:val="rvps2"/>
    <w:basedOn w:val="1"/>
    <w:uiPriority w:val="0"/>
    <w:pPr>
      <w:spacing w:before="100" w:beforeAutospacing="1" w:after="100" w:afterAutospacing="1" w:line="240" w:lineRule="auto"/>
    </w:pPr>
    <w:rPr>
      <w:rFonts w:ascii="Times New Roman" w:hAnsi="Times New Roman" w:eastAsia="Times New Roman"/>
      <w:sz w:val="24"/>
      <w:szCs w:val="24"/>
      <w:lang w:val="ru-RU" w:eastAsia="ru-RU"/>
    </w:rPr>
  </w:style>
  <w:style w:type="character" w:customStyle="1" w:styleId="34">
    <w:name w:val="Текст примітки Знак"/>
    <w:link w:val="10"/>
    <w:uiPriority w:val="99"/>
    <w:rPr>
      <w:rFonts w:ascii="Calibri" w:hAnsi="Calibri" w:eastAsia="Calibri"/>
      <w:szCs w:val="22"/>
      <w:lang w:eastAsia="en-US"/>
    </w:rPr>
  </w:style>
  <w:style w:type="character" w:customStyle="1" w:styleId="35">
    <w:name w:val="Основний текст з відступом Знак"/>
    <w:link w:val="14"/>
    <w:uiPriority w:val="0"/>
    <w:rPr>
      <w:rFonts w:ascii="Calibri" w:hAnsi="Calibri" w:eastAsia="Calibri"/>
      <w:sz w:val="22"/>
      <w:szCs w:val="22"/>
      <w:lang w:eastAsia="en-US"/>
    </w:rPr>
  </w:style>
  <w:style w:type="character" w:customStyle="1" w:styleId="36">
    <w:name w:val="Підзаголовок Знак"/>
    <w:link w:val="18"/>
    <w:uiPriority w:val="0"/>
    <w:rPr>
      <w:rFonts w:ascii="Cambria" w:hAnsi="Cambria"/>
      <w:sz w:val="24"/>
      <w:szCs w:val="24"/>
      <w:lang w:eastAsia="en-US"/>
    </w:rPr>
  </w:style>
  <w:style w:type="character" w:customStyle="1" w:styleId="37">
    <w:name w:val="Нижній колонтитул Знак"/>
    <w:link w:val="15"/>
    <w:uiPriority w:val="0"/>
    <w:rPr>
      <w:rFonts w:ascii="Calibri" w:hAnsi="Calibri" w:eastAsia="Calibri"/>
      <w:sz w:val="16"/>
      <w:szCs w:val="22"/>
      <w:lang w:val="en-US" w:eastAsia="en-US"/>
    </w:rPr>
  </w:style>
  <w:style w:type="paragraph" w:styleId="38">
    <w:name w:val="List Paragraph"/>
    <w:basedOn w:val="1"/>
    <w:qFormat/>
    <w:uiPriority w:val="34"/>
    <w:pPr>
      <w:ind w:left="720"/>
    </w:pPr>
  </w:style>
  <w:style w:type="character" w:customStyle="1" w:styleId="39">
    <w:name w:val="Тема примітки Знак"/>
    <w:link w:val="11"/>
    <w:semiHidden/>
    <w:uiPriority w:val="0"/>
    <w:rPr>
      <w:rFonts w:ascii="Calibri" w:hAnsi="Calibri" w:eastAsia="Calibri"/>
      <w:b/>
      <w:bCs/>
      <w:szCs w:val="22"/>
      <w:lang w:eastAsia="en-US"/>
    </w:rPr>
  </w:style>
  <w:style w:type="paragraph" w:customStyle="1" w:styleId="40">
    <w:name w:val="_Style 39"/>
    <w:hidden/>
    <w:semiHidden/>
    <w:uiPriority w:val="99"/>
    <w:rPr>
      <w:rFonts w:ascii="Calibri" w:hAnsi="Calibri" w:eastAsia="Calibri" w:cs="Times New Roman"/>
      <w:sz w:val="22"/>
      <w:szCs w:val="22"/>
      <w:lang w:val="uk-UA" w:eastAsia="en-US" w:bidi="ar-SA"/>
    </w:rPr>
  </w:style>
  <w:style w:type="character" w:customStyle="1" w:styleId="41">
    <w:name w:val="Заголовок 1 Знак"/>
    <w:link w:val="2"/>
    <w:uiPriority w:val="0"/>
    <w:rPr>
      <w:rFonts w:ascii="Calibri" w:hAnsi="Calibri" w:eastAsia="Calibri"/>
      <w:b/>
      <w:i/>
      <w:sz w:val="22"/>
      <w:szCs w:val="22"/>
      <w:lang w:eastAsia="en-US"/>
    </w:rPr>
  </w:style>
  <w:style w:type="character" w:customStyle="1" w:styleId="42">
    <w:name w:val="Верхній колонтитул Знак"/>
    <w:link w:val="13"/>
    <w:uiPriority w:val="0"/>
    <w:rPr>
      <w:rFonts w:ascii="Calibri" w:hAnsi="Calibri" w:eastAsia="Calibri"/>
      <w:sz w:val="22"/>
      <w:szCs w:val="22"/>
      <w:lang w:eastAsia="en-US"/>
    </w:rPr>
  </w:style>
  <w:style w:type="character" w:customStyle="1" w:styleId="43">
    <w:name w:val="Текст виноски Знак"/>
    <w:link w:val="12"/>
    <w:semiHidden/>
    <w:uiPriority w:val="0"/>
    <w:rPr>
      <w:rFonts w:ascii="Calibri" w:hAnsi="Calibri" w:eastAsia="Calibri"/>
      <w:szCs w:val="22"/>
      <w:lang w:eastAsia="en-US"/>
    </w:rPr>
  </w:style>
  <w:style w:type="character" w:customStyle="1" w:styleId="44">
    <w:name w:val="Звичайний (веб) Знак"/>
    <w:link w:val="17"/>
    <w:uiPriority w:val="0"/>
    <w:rPr>
      <w:sz w:val="24"/>
      <w:szCs w:val="24"/>
      <w:lang w:eastAsia="ru-RU"/>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4042</Words>
  <Characters>30843</Characters>
  <Lines>287</Lines>
  <Paragraphs>189</Paragraphs>
  <TotalTime>5</TotalTime>
  <ScaleCrop>false</ScaleCrop>
  <LinksUpToDate>false</LinksUpToDate>
  <CharactersWithSpaces>34663</CharactersWithSpaces>
  <Application>WPS Office_11.2.0.10094_F1E327BC-269C-435d-A152-05C5408002CA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2021-06-04T09:23:00Z</dcterms:created>
  <dc:creator> </dc:creator>
  <cp:lastModifiedBy>Анько</cp:lastModifiedBy>
  <cp:lastPrinted>2021-06-03T13:52:00Z</cp:lastPrinted>
  <dcterms:modified xsi:type="dcterms:W3CDTF">2021-06-09T07:26:10Z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1049-11.2.0.10094</vt:lpwstr>
  </property>
</Properties>
</file>