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100" w:afterAutospacing="1"/>
        <w:ind w:left="4320" w:firstLine="0"/>
        <w:jc w:val="center"/>
        <w:rPr>
          <w:i/>
          <w:szCs w:val="28"/>
          <w:lang w:eastAsia="uk-UA"/>
        </w:rPr>
      </w:pPr>
      <w:bookmarkStart w:id="0" w:name="_GoBack"/>
      <w:bookmarkEnd w:id="0"/>
      <w:r>
        <w:rPr>
          <w:i/>
          <w:sz w:val="24"/>
          <w:szCs w:val="24"/>
        </w:rPr>
        <w:t xml:space="preserve">Додаток </w:t>
      </w:r>
      <w:r>
        <w:rPr>
          <w:i/>
          <w:sz w:val="24"/>
          <w:szCs w:val="24"/>
        </w:rPr>
        <w:br w:type="textWrapping"/>
      </w:r>
      <w:r>
        <w:rPr>
          <w:i/>
          <w:sz w:val="24"/>
          <w:szCs w:val="24"/>
        </w:rPr>
        <w:t xml:space="preserve">до </w:t>
      </w:r>
      <w:r>
        <w:rPr>
          <w:bCs/>
          <w:i/>
          <w:sz w:val="24"/>
          <w:szCs w:val="24"/>
          <w:lang w:eastAsia="uk-UA"/>
        </w:rPr>
        <w:t>Порядку фінансування виборчих комісій, комісій з всеукраїнського референдуму та використання коштів Державного бюджету України, виділених на підготовку</w:t>
      </w:r>
      <w:r>
        <w:rPr>
          <w:bCs/>
          <w:i/>
          <w:spacing w:val="-4"/>
          <w:sz w:val="24"/>
          <w:szCs w:val="24"/>
          <w:lang w:eastAsia="uk-UA"/>
        </w:rPr>
        <w:t xml:space="preserve"> </w:t>
      </w:r>
      <w:r>
        <w:rPr>
          <w:bCs/>
          <w:i/>
          <w:spacing w:val="-4"/>
          <w:sz w:val="24"/>
          <w:szCs w:val="24"/>
          <w:lang w:eastAsia="uk-UA"/>
        </w:rPr>
        <w:br w:type="textWrapping"/>
      </w:r>
      <w:r>
        <w:rPr>
          <w:bCs/>
          <w:i/>
          <w:spacing w:val="-4"/>
          <w:sz w:val="24"/>
          <w:szCs w:val="24"/>
          <w:lang w:eastAsia="uk-UA"/>
        </w:rPr>
        <w:t xml:space="preserve">та проведення загальнодержавних виборів і </w:t>
      </w:r>
      <w:r>
        <w:rPr>
          <w:bCs/>
          <w:i/>
          <w:spacing w:val="-4"/>
          <w:sz w:val="24"/>
          <w:szCs w:val="24"/>
          <w:lang w:eastAsia="uk-UA"/>
        </w:rPr>
        <w:br w:type="textWrapping"/>
      </w:r>
      <w:r>
        <w:rPr>
          <w:bCs/>
          <w:i/>
          <w:spacing w:val="-4"/>
          <w:sz w:val="24"/>
          <w:szCs w:val="24"/>
          <w:lang w:eastAsia="uk-UA"/>
        </w:rPr>
        <w:t>всеукраїнського референдуму</w:t>
      </w:r>
    </w:p>
    <w:p>
      <w:pPr>
        <w:spacing w:after="0"/>
        <w:ind w:left="3969" w:firstLine="0"/>
        <w:jc w:val="center"/>
        <w:rPr>
          <w:sz w:val="6"/>
          <w:szCs w:val="24"/>
        </w:rPr>
      </w:pPr>
    </w:p>
    <w:p>
      <w:pPr>
        <w:spacing w:after="0"/>
        <w:ind w:left="3969" w:firstLine="0"/>
        <w:jc w:val="center"/>
        <w:rPr>
          <w:sz w:val="6"/>
          <w:szCs w:val="24"/>
        </w:rPr>
      </w:pPr>
    </w:p>
    <w:p>
      <w:pPr>
        <w:spacing w:after="0"/>
        <w:ind w:left="3969" w:firstLine="0"/>
        <w:jc w:val="center"/>
        <w:rPr>
          <w:sz w:val="6"/>
          <w:szCs w:val="24"/>
        </w:rPr>
      </w:pPr>
    </w:p>
    <w:p>
      <w:pPr>
        <w:spacing w:after="0"/>
        <w:ind w:left="3969" w:firstLine="0"/>
        <w:jc w:val="center"/>
        <w:rPr>
          <w:sz w:val="6"/>
          <w:szCs w:val="24"/>
        </w:rPr>
      </w:pPr>
    </w:p>
    <w:p>
      <w:pPr>
        <w:spacing w:after="0"/>
        <w:ind w:left="3969" w:firstLine="0"/>
        <w:jc w:val="center"/>
        <w:rPr>
          <w:sz w:val="6"/>
          <w:szCs w:val="24"/>
        </w:rPr>
      </w:pPr>
    </w:p>
    <w:tbl>
      <w:tblPr>
        <w:tblStyle w:val="3"/>
        <w:tblW w:w="5371" w:type="dxa"/>
        <w:tblInd w:w="407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1"/>
      </w:tblGrid>
      <w:tr>
        <w:tc>
          <w:tcPr>
            <w:tcW w:w="5371" w:type="dxa"/>
            <w:noWrap w:val="0"/>
            <w:vAlign w:val="center"/>
          </w:tcPr>
          <w:p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ЗАТВЕРДЖЕНО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1" w:type="dxa"/>
            <w:noWrap w:val="0"/>
            <w:vAlign w:val="center"/>
          </w:tcPr>
          <w:p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постановою Центральної виборчої комісії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1" w:type="dxa"/>
            <w:noWrap w:val="0"/>
            <w:vAlign w:val="center"/>
          </w:tcPr>
          <w:p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від "___" _________ 20___ року № ____</w:t>
            </w:r>
          </w:p>
        </w:tc>
      </w:tr>
    </w:tbl>
    <w:p>
      <w:pPr>
        <w:autoSpaceDE w:val="0"/>
        <w:autoSpaceDN w:val="0"/>
        <w:adjustRightInd w:val="0"/>
        <w:spacing w:after="0"/>
        <w:ind w:firstLine="0"/>
        <w:jc w:val="center"/>
        <w:rPr>
          <w:rFonts w:eastAsia="Calibri"/>
          <w:b/>
          <w:sz w:val="8"/>
          <w:szCs w:val="28"/>
          <w:lang w:eastAsia="en-US"/>
        </w:rPr>
      </w:pPr>
    </w:p>
    <w:p>
      <w:pPr>
        <w:autoSpaceDE w:val="0"/>
        <w:autoSpaceDN w:val="0"/>
        <w:adjustRightInd w:val="0"/>
        <w:spacing w:after="0"/>
        <w:ind w:firstLine="0"/>
        <w:jc w:val="center"/>
        <w:rPr>
          <w:rFonts w:eastAsia="Calibri"/>
          <w:b/>
          <w:sz w:val="8"/>
          <w:szCs w:val="28"/>
          <w:lang w:eastAsia="en-US"/>
        </w:rPr>
      </w:pPr>
    </w:p>
    <w:p>
      <w:pPr>
        <w:autoSpaceDE w:val="0"/>
        <w:autoSpaceDN w:val="0"/>
        <w:adjustRightInd w:val="0"/>
        <w:spacing w:after="0"/>
        <w:ind w:firstLine="0"/>
        <w:jc w:val="center"/>
        <w:rPr>
          <w:rFonts w:eastAsia="Calibri"/>
          <w:b/>
          <w:sz w:val="8"/>
          <w:szCs w:val="28"/>
          <w:lang w:eastAsia="en-US"/>
        </w:rPr>
      </w:pPr>
    </w:p>
    <w:p>
      <w:pPr>
        <w:autoSpaceDE w:val="0"/>
        <w:autoSpaceDN w:val="0"/>
        <w:adjustRightInd w:val="0"/>
        <w:spacing w:after="0"/>
        <w:ind w:firstLine="0"/>
        <w:jc w:val="center"/>
        <w:rPr>
          <w:rFonts w:eastAsia="Calibri"/>
          <w:b/>
          <w:sz w:val="8"/>
          <w:szCs w:val="28"/>
          <w:lang w:eastAsia="en-US"/>
        </w:rPr>
      </w:pPr>
    </w:p>
    <w:p>
      <w:pPr>
        <w:autoSpaceDE w:val="0"/>
        <w:autoSpaceDN w:val="0"/>
        <w:adjustRightInd w:val="0"/>
        <w:spacing w:after="0"/>
        <w:ind w:firstLine="0"/>
        <w:jc w:val="center"/>
        <w:rPr>
          <w:rFonts w:eastAsia="Calibri"/>
          <w:b/>
          <w:sz w:val="8"/>
          <w:szCs w:val="28"/>
          <w:lang w:eastAsia="en-US"/>
        </w:rPr>
      </w:pPr>
    </w:p>
    <w:p>
      <w:pPr>
        <w:autoSpaceDE w:val="0"/>
        <w:autoSpaceDN w:val="0"/>
        <w:adjustRightInd w:val="0"/>
        <w:spacing w:after="0"/>
        <w:ind w:firstLine="0"/>
        <w:jc w:val="center"/>
        <w:rPr>
          <w:rFonts w:eastAsia="Calibri"/>
          <w:b/>
          <w:sz w:val="8"/>
          <w:szCs w:val="28"/>
          <w:lang w:eastAsia="en-US"/>
        </w:rPr>
      </w:pPr>
    </w:p>
    <w:p>
      <w:pPr>
        <w:autoSpaceDE w:val="0"/>
        <w:autoSpaceDN w:val="0"/>
        <w:adjustRightInd w:val="0"/>
        <w:spacing w:after="0"/>
        <w:ind w:firstLine="0"/>
        <w:jc w:val="center"/>
        <w:rPr>
          <w:b/>
          <w:szCs w:val="28"/>
        </w:rPr>
      </w:pPr>
      <w:r>
        <w:rPr>
          <w:b/>
          <w:szCs w:val="28"/>
        </w:rPr>
        <w:t>ЄДИНИЙ КОШТОРИС ВИДАТКІВ</w:t>
      </w:r>
    </w:p>
    <w:p>
      <w:pPr>
        <w:autoSpaceDE w:val="0"/>
        <w:autoSpaceDN w:val="0"/>
        <w:adjustRightInd w:val="0"/>
        <w:spacing w:after="0"/>
        <w:ind w:firstLine="0"/>
        <w:jc w:val="center"/>
        <w:rPr>
          <w:b/>
          <w:szCs w:val="28"/>
        </w:rPr>
      </w:pPr>
      <w:r>
        <w:rPr>
          <w:b/>
          <w:szCs w:val="28"/>
        </w:rPr>
        <w:t>для підготовки та проведення __________________________________</w:t>
      </w:r>
    </w:p>
    <w:p>
      <w:pPr>
        <w:autoSpaceDE w:val="0"/>
        <w:autoSpaceDN w:val="0"/>
        <w:adjustRightInd w:val="0"/>
        <w:spacing w:after="0"/>
        <w:ind w:firstLine="0"/>
        <w:jc w:val="center"/>
        <w:rPr>
          <w:sz w:val="20"/>
          <w:szCs w:val="20"/>
        </w:rPr>
      </w:pPr>
      <w:r>
        <w:rPr>
          <w:sz w:val="16"/>
          <w:szCs w:val="16"/>
        </w:rPr>
        <w:t xml:space="preserve">                                                 </w:t>
      </w:r>
      <w:r>
        <w:rPr>
          <w:sz w:val="20"/>
          <w:szCs w:val="20"/>
        </w:rPr>
        <w:t xml:space="preserve">  (назва виборів, референдуму)</w:t>
      </w:r>
    </w:p>
    <w:p>
      <w:pPr>
        <w:autoSpaceDE w:val="0"/>
        <w:autoSpaceDN w:val="0"/>
        <w:adjustRightInd w:val="0"/>
        <w:spacing w:after="0"/>
        <w:ind w:firstLine="0"/>
        <w:jc w:val="center"/>
        <w:rPr>
          <w:b/>
          <w:szCs w:val="28"/>
        </w:rPr>
      </w:pPr>
      <w:r>
        <w:rPr>
          <w:b/>
          <w:szCs w:val="28"/>
        </w:rPr>
        <w:t>на ____ рік</w:t>
      </w:r>
    </w:p>
    <w:p>
      <w:pPr>
        <w:autoSpaceDE w:val="0"/>
        <w:autoSpaceDN w:val="0"/>
        <w:adjustRightInd w:val="0"/>
        <w:spacing w:after="0"/>
        <w:ind w:firstLine="0"/>
        <w:jc w:val="center"/>
        <w:rPr>
          <w:b/>
          <w:szCs w:val="28"/>
        </w:rPr>
      </w:pPr>
    </w:p>
    <w:p>
      <w:pPr>
        <w:autoSpaceDE w:val="0"/>
        <w:autoSpaceDN w:val="0"/>
        <w:adjustRightInd w:val="0"/>
        <w:spacing w:after="0"/>
        <w:ind w:firstLine="0"/>
        <w:jc w:val="center"/>
        <w:rPr>
          <w:rFonts w:eastAsia="Calibri"/>
          <w:b/>
          <w:sz w:val="12"/>
          <w:szCs w:val="16"/>
          <w:lang w:eastAsia="en-US"/>
        </w:rPr>
      </w:pPr>
    </w:p>
    <w:p>
      <w:pPr>
        <w:autoSpaceDE w:val="0"/>
        <w:autoSpaceDN w:val="0"/>
        <w:adjustRightInd w:val="0"/>
        <w:spacing w:after="0"/>
        <w:ind w:firstLine="0"/>
        <w:jc w:val="center"/>
        <w:rPr>
          <w:rFonts w:eastAsia="Calibri"/>
          <w:b/>
          <w:sz w:val="12"/>
          <w:szCs w:val="16"/>
          <w:lang w:eastAsia="en-US"/>
        </w:rPr>
      </w:pPr>
    </w:p>
    <w:p>
      <w:pPr>
        <w:autoSpaceDE w:val="0"/>
        <w:autoSpaceDN w:val="0"/>
        <w:adjustRightInd w:val="0"/>
        <w:spacing w:after="0" w:line="259" w:lineRule="auto"/>
        <w:ind w:firstLine="0"/>
        <w:jc w:val="center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4"/>
          <w:szCs w:val="24"/>
          <w:lang w:eastAsia="en-US"/>
        </w:rPr>
        <w:t>Окружна</w:t>
      </w:r>
      <w:r>
        <w:rPr>
          <w:rFonts w:eastAsia="Calibri"/>
          <w:sz w:val="22"/>
          <w:szCs w:val="22"/>
          <w:lang w:eastAsia="en-US"/>
        </w:rPr>
        <w:t xml:space="preserve"> _________________________________</w:t>
      </w:r>
    </w:p>
    <w:p>
      <w:pPr>
        <w:autoSpaceDE w:val="0"/>
        <w:autoSpaceDN w:val="0"/>
        <w:adjustRightInd w:val="0"/>
        <w:spacing w:after="0" w:line="259" w:lineRule="auto"/>
        <w:ind w:firstLine="0"/>
        <w:jc w:val="center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16"/>
          <w:szCs w:val="16"/>
          <w:lang w:eastAsia="en-US"/>
        </w:rPr>
        <w:t xml:space="preserve">              </w:t>
      </w:r>
      <w:r>
        <w:rPr>
          <w:rFonts w:eastAsia="Calibri"/>
          <w:sz w:val="20"/>
          <w:szCs w:val="20"/>
          <w:lang w:eastAsia="en-US"/>
        </w:rPr>
        <w:t xml:space="preserve">  (назва комісії)</w:t>
      </w:r>
    </w:p>
    <w:p>
      <w:pPr>
        <w:autoSpaceDE w:val="0"/>
        <w:autoSpaceDN w:val="0"/>
        <w:adjustRightInd w:val="0"/>
        <w:spacing w:after="0" w:line="259" w:lineRule="auto"/>
        <w:ind w:firstLine="0"/>
        <w:jc w:val="center"/>
        <w:rPr>
          <w:rFonts w:eastAsia="Calibri"/>
          <w:sz w:val="6"/>
          <w:szCs w:val="22"/>
          <w:lang w:eastAsia="en-US"/>
        </w:rPr>
      </w:pPr>
    </w:p>
    <w:p>
      <w:pPr>
        <w:autoSpaceDE w:val="0"/>
        <w:autoSpaceDN w:val="0"/>
        <w:adjustRightInd w:val="0"/>
        <w:spacing w:after="0" w:line="259" w:lineRule="auto"/>
        <w:ind w:firstLine="0"/>
        <w:jc w:val="center"/>
        <w:rPr>
          <w:rFonts w:eastAsia="Calibri"/>
          <w:sz w:val="22"/>
          <w:szCs w:val="22"/>
          <w:lang w:eastAsia="en-US"/>
        </w:rPr>
      </w:pPr>
    </w:p>
    <w:tbl>
      <w:tblPr>
        <w:tblStyle w:val="3"/>
        <w:tblW w:w="9690" w:type="dxa"/>
        <w:tblInd w:w="-22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160" w:line="259" w:lineRule="auto"/>
              <w:ind w:firstLine="0"/>
              <w:jc w:val="center"/>
              <w:rPr>
                <w:rFonts w:eastAsia="Calibri"/>
                <w:sz w:val="20"/>
                <w:vertAlign w:val="superscript"/>
                <w:lang w:eastAsia="en-US"/>
              </w:rPr>
            </w:pPr>
            <w:r>
              <w:rPr>
                <w:rFonts w:eastAsia="Calibri"/>
                <w:sz w:val="20"/>
                <w:vertAlign w:val="baseline"/>
                <w:lang w:eastAsia="en-US"/>
              </w:rPr>
              <w:t>(код за ЄДРПОУ та найменування  бюджетної установи)</w:t>
            </w:r>
          </w:p>
        </w:tc>
      </w:tr>
      <w:tr>
        <w:tc>
          <w:tcPr>
            <w:tcW w:w="9690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160" w:line="259" w:lineRule="auto"/>
              <w:ind w:firstLine="0"/>
              <w:jc w:val="center"/>
              <w:rPr>
                <w:rFonts w:eastAsia="Calibri"/>
                <w:sz w:val="20"/>
                <w:lang w:eastAsia="en-US"/>
              </w:rPr>
            </w:pPr>
            <w:r>
              <w:rPr>
                <w:rFonts w:eastAsia="Calibri"/>
                <w:sz w:val="20"/>
                <w:vertAlign w:val="baseline"/>
                <w:lang w:eastAsia="en-US"/>
              </w:rPr>
              <w:t>(найменування міста, району, області)</w:t>
            </w:r>
          </w:p>
        </w:tc>
      </w:tr>
    </w:tbl>
    <w:p>
      <w:pPr>
        <w:spacing w:after="0" w:line="238" w:lineRule="auto"/>
        <w:ind w:firstLine="0"/>
        <w:jc w:val="left"/>
        <w:rPr>
          <w:sz w:val="18"/>
          <w:szCs w:val="18"/>
        </w:rPr>
      </w:pPr>
      <w:r>
        <w:rPr>
          <w:sz w:val="18"/>
          <w:szCs w:val="18"/>
        </w:rPr>
        <w:t xml:space="preserve">Вид бюджету – </w:t>
      </w:r>
      <w:r>
        <w:rPr>
          <w:b/>
          <w:sz w:val="18"/>
          <w:szCs w:val="18"/>
        </w:rPr>
        <w:t>державний</w:t>
      </w:r>
      <w:r>
        <w:rPr>
          <w:sz w:val="20"/>
        </w:rPr>
        <w:t>,</w:t>
      </w:r>
      <w:r>
        <w:rPr>
          <w:sz w:val="18"/>
          <w:szCs w:val="18"/>
        </w:rPr>
        <w:br w:type="textWrapping"/>
      </w:r>
      <w:r>
        <w:rPr>
          <w:sz w:val="18"/>
          <w:szCs w:val="18"/>
        </w:rPr>
        <w:t xml:space="preserve">код та назва відомчої класифікації видатків та кредитування бюджету – </w:t>
      </w:r>
      <w:r>
        <w:rPr>
          <w:b/>
          <w:sz w:val="18"/>
          <w:szCs w:val="18"/>
        </w:rPr>
        <w:t>673, Центральна виборча комісія</w:t>
      </w:r>
      <w:r>
        <w:rPr>
          <w:sz w:val="20"/>
        </w:rPr>
        <w:t>,</w:t>
      </w:r>
      <w:r>
        <w:rPr>
          <w:sz w:val="18"/>
          <w:szCs w:val="18"/>
        </w:rPr>
        <w:br w:type="textWrapping"/>
      </w:r>
      <w:r>
        <w:rPr>
          <w:sz w:val="18"/>
          <w:szCs w:val="18"/>
        </w:rPr>
        <w:t>код та назва програмної класифікації видатків та кредитування державного бюджету ___________________________</w:t>
      </w:r>
      <w:r>
        <w:rPr>
          <w:sz w:val="18"/>
          <w:szCs w:val="18"/>
        </w:rPr>
        <w:br w:type="textWrapping"/>
      </w:r>
      <w:r>
        <w:rPr>
          <w:sz w:val="18"/>
          <w:szCs w:val="18"/>
        </w:rPr>
        <w:t xml:space="preserve">(код та назва програмної класифікації видатків та кредитування місцевих бюджетів (код та назва Типової програмної класифікації видатків та кредитування місцевих бюджетів)______________)      </w:t>
      </w:r>
    </w:p>
    <w:p>
      <w:pPr>
        <w:spacing w:after="0" w:line="238" w:lineRule="auto"/>
        <w:ind w:firstLine="0"/>
        <w:jc w:val="right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(грн)</w:t>
      </w:r>
    </w:p>
    <w:tbl>
      <w:tblPr>
        <w:tblStyle w:val="3"/>
        <w:tblW w:w="9540" w:type="dxa"/>
        <w:tblInd w:w="-1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3"/>
        <w:gridCol w:w="1189"/>
        <w:gridCol w:w="1587"/>
        <w:gridCol w:w="1766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vMerge w:val="restart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Найменування </w:t>
            </w:r>
          </w:p>
        </w:tc>
        <w:tc>
          <w:tcPr>
            <w:tcW w:w="1189" w:type="dxa"/>
            <w:vMerge w:val="restart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Код </w:t>
            </w:r>
          </w:p>
        </w:tc>
        <w:tc>
          <w:tcPr>
            <w:tcW w:w="3353" w:type="dxa"/>
            <w:gridSpan w:val="2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Усього на рік </w:t>
            </w:r>
          </w:p>
        </w:tc>
        <w:tc>
          <w:tcPr>
            <w:tcW w:w="1635" w:type="dxa"/>
            <w:vMerge w:val="restart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РАЗОМ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vMerge w:val="continue"/>
            <w:shd w:val="clear" w:color="auto" w:fill="auto"/>
            <w:noWrap w:val="0"/>
            <w:vAlign w:val="top"/>
          </w:tcPr>
          <w:p>
            <w:pPr>
              <w:spacing w:after="0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189" w:type="dxa"/>
            <w:vMerge w:val="continue"/>
            <w:shd w:val="clear" w:color="auto" w:fill="auto"/>
            <w:noWrap w:val="0"/>
            <w:vAlign w:val="top"/>
          </w:tcPr>
          <w:p>
            <w:pPr>
              <w:spacing w:after="0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загальний фонд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спеціальний фонд </w:t>
            </w:r>
          </w:p>
        </w:tc>
        <w:tc>
          <w:tcPr>
            <w:tcW w:w="1635" w:type="dxa"/>
            <w:vMerge w:val="continue"/>
            <w:shd w:val="clear" w:color="auto" w:fill="auto"/>
            <w:noWrap w:val="0"/>
            <w:vAlign w:val="top"/>
          </w:tcPr>
          <w:p>
            <w:pPr>
              <w:spacing w:after="0"/>
              <w:ind w:firstLine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НАДХОДЖЕННЯ - усього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х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Надходження коштів із загального фонду бюджету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х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х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Надходження коштів із спеціального фонду бюджету, у тому числі: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х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 xml:space="preserve"> надходження від плати за послуги, що надаються бюджетними установами згідно із законодавством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25010000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х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(розписати за підгрупами)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 xml:space="preserve"> інші джерела власних надходжень бюджетних установ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25020000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х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(розписати за підгрупами)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 xml:space="preserve"> інші надходження, у тому числі: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х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 xml:space="preserve"> інші доходи (розписати за кодами класифікації доходів бюджету)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х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 xml:space="preserve"> фінансування (розписати за кодами класифікації фінансування бюджету  за типом боргового зобов’язання)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х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vMerge w:val="restart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 xml:space="preserve"> повернення кредитів до бюджету (розписати за кодами програмної класифікації видатків та кредитування бюджету, класифікації кредитування бюджету)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х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vMerge w:val="continue"/>
            <w:shd w:val="clear" w:color="auto" w:fill="auto"/>
            <w:noWrap w:val="0"/>
            <w:vAlign w:val="top"/>
          </w:tcPr>
          <w:p>
            <w:pPr>
              <w:spacing w:after="0"/>
              <w:ind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х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ВИДАТКИ ТА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/>
                <w:sz w:val="18"/>
                <w:szCs w:val="18"/>
              </w:rPr>
              <w:t>НАДАННЯ КРЕДИТІВ - усього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х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Поточні видатки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2000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Оплата праці і нарахування на заробітну плату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2100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iCs/>
                <w:color w:val="000000"/>
                <w:sz w:val="18"/>
                <w:szCs w:val="18"/>
              </w:rPr>
              <w:t>Оплата праці</w:t>
            </w:r>
            <w:r>
              <w:rPr>
                <w:b/>
                <w:i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2110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Заробітна плата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2111 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 xml:space="preserve">Грошове забезпечення військовослужбовців 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2112 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  <w:lang w:val="ru-RU"/>
              </w:rPr>
              <w:t>Суддівська винагорода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>2113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iCs/>
                <w:color w:val="000000"/>
                <w:sz w:val="18"/>
                <w:szCs w:val="18"/>
              </w:rPr>
              <w:t>Нарахування на оплату праці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2120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i/>
                <w:iCs/>
                <w:color w:val="000000"/>
                <w:sz w:val="18"/>
                <w:szCs w:val="18"/>
              </w:rPr>
              <w:t>Використання</w:t>
            </w:r>
            <w:r>
              <w:rPr>
                <w:b/>
                <w:i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i/>
                <w:iCs/>
                <w:color w:val="000000"/>
                <w:sz w:val="18"/>
                <w:szCs w:val="18"/>
              </w:rPr>
              <w:t>товарів і послуг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2200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Предмети, матеріали, обладнання та інвентар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2210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Медикаменти та перев’язувальні матеріали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2220 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Продукти харчування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2230 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Оплата послуг (крім комунальних)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2240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Видатки на відрядження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2250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Видатки та заходи спеціального призначення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2260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Оплата комунальних послуг та енергоносіїв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2270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Оплата теплопостачання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2271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Оплата водопостачання та водовідведення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2272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Оплата електроенергії 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2273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Оплата природного газу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2274 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Оплата інших енергоносіїв та інших комунальних послуг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2275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Cs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Оплата енергосервісу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iCs/>
                <w:sz w:val="18"/>
                <w:szCs w:val="18"/>
              </w:rPr>
            </w:pPr>
            <w:r>
              <w:rPr>
                <w:iCs/>
                <w:sz w:val="18"/>
                <w:szCs w:val="18"/>
              </w:rPr>
              <w:t>2276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 xml:space="preserve">Дослідження і розробки, </w:t>
            </w:r>
            <w:r>
              <w:rPr>
                <w:color w:val="000000"/>
                <w:sz w:val="18"/>
                <w:szCs w:val="18"/>
              </w:rPr>
              <w:t>окремі заходи по реалізації державних (регіональних) програм 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2280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Дослідження і розробки, окремі заходи розвитку по реалізації державних (регіональних) програм 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2281 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Окремі заходи по реалізації державних (регіональних) програм, не віднесені до заходів розвитку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2282 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b/>
                <w:i/>
                <w:sz w:val="18"/>
                <w:szCs w:val="18"/>
              </w:rPr>
            </w:pPr>
            <w:r>
              <w:rPr>
                <w:b/>
                <w:bCs/>
                <w:i/>
                <w:color w:val="000000"/>
                <w:sz w:val="18"/>
                <w:szCs w:val="18"/>
              </w:rPr>
              <w:t>Обслуговування боргових зобов’язань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2400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Обслуговування внутрішніх боргових зобов’язань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2410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Обслуговування зовнішніх боргових зобов’язань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2420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b/>
                <w:bCs/>
                <w:i/>
                <w:color w:val="000000"/>
                <w:sz w:val="18"/>
                <w:szCs w:val="18"/>
              </w:rPr>
              <w:t>Поточні трансферти</w:t>
            </w:r>
            <w:r>
              <w:rPr>
                <w:i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2600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 xml:space="preserve">Субсидії та поточні трансферти підприємствам (установам, організаціям) 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2610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Поточні трансферти органам державного управління інших рівнів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2620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Cs/>
                <w:color w:val="000000"/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Поточні трансферти урядам іноземних держав  та міжнародним організаціям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iCs/>
                <w:color w:val="000000"/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2630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iCs/>
                <w:color w:val="000000"/>
                <w:sz w:val="18"/>
                <w:szCs w:val="18"/>
              </w:rPr>
              <w:t>Соціальне забезпечення</w:t>
            </w:r>
            <w:r>
              <w:rPr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2700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Виплата пенсій і допомоги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2710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Стипендії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2720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Інші виплати населенню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2730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Інші поточні видатки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2800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Капітальні видатки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3000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Придбання основного капіталу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3100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Придбання обладнання і предметів довгострокового користування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3110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Капітальне будівництво (придбання)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3120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Капітальне будівництво (придбання) житла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3121 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Капітальне будівництво (придбання) інших об’єктів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3122 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Капітальний ремонт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3130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Капітальний ремонт житлового фонду (приміщень)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3131 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Капітальний ремонт інших об’єктів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3132 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Реконструкція та реставрація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iCs/>
                <w:color w:val="000000"/>
                <w:sz w:val="18"/>
                <w:szCs w:val="18"/>
              </w:rPr>
              <w:t>3140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Реконструкція житлового фонду (приміщень)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3141 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Реконструкція та реставрація інших об’єктів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3142 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Реставрація пам’яток культури, історії та архітектури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3143 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Створення державних запасів і резервів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3150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 xml:space="preserve">Придбання землі та нематеріальних активів 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3160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Капітальні трансферти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3200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Капітальні трансферти підприємствам (установам, організаціям)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3210 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Капітальні трансферти органам державного управління інших рівнів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3220 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Капітальні трансферти урядам  </w:t>
            </w:r>
            <w:r>
              <w:rPr>
                <w:iCs/>
                <w:color w:val="000000"/>
                <w:sz w:val="18"/>
                <w:szCs w:val="18"/>
              </w:rPr>
              <w:t>іноземних держав та міжнародним організаціям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3230 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Капітальні трансферти населенню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3240 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Надання внутрішніх кредитів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4110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  <w:highlight w:val="yellow"/>
              </w:rPr>
            </w:pPr>
            <w:r>
              <w:rPr>
                <w:i/>
                <w:color w:val="000000"/>
                <w:sz w:val="18"/>
                <w:szCs w:val="18"/>
              </w:rPr>
              <w:t>Надання кредитів органам державного управління інших рівнів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4111 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Надання кредитів підприємствам, установам, організаціям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4112 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i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Надання інших внутрішніх кредитів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4113 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Надання зовнішніх кредитів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4210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3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Нерозподілені видатки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9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jc w:val="center"/>
              <w:rPr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9000</w:t>
            </w: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87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766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  <w:tc>
          <w:tcPr>
            <w:tcW w:w="1635" w:type="dxa"/>
            <w:shd w:val="clear" w:color="auto" w:fill="auto"/>
            <w:noWrap w:val="0"/>
            <w:vAlign w:val="top"/>
          </w:tcPr>
          <w:p>
            <w:pPr>
              <w:spacing w:before="100" w:beforeAutospacing="1" w:after="100" w:afterAutospacing="1"/>
              <w:ind w:firstLine="0"/>
              <w:rPr>
                <w:color w:val="000000"/>
                <w:sz w:val="18"/>
                <w:szCs w:val="18"/>
              </w:rPr>
            </w:pPr>
          </w:p>
        </w:tc>
      </w:tr>
    </w:tbl>
    <w:p>
      <w:pPr>
        <w:snapToGrid w:val="0"/>
        <w:spacing w:after="0"/>
        <w:rPr>
          <w:sz w:val="24"/>
          <w:szCs w:val="24"/>
        </w:rPr>
      </w:pPr>
    </w:p>
    <w:p>
      <w:pPr>
        <w:snapToGrid w:val="0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Єдиний кошторис видатків окружної ________________________ для підготовки та </w:t>
      </w:r>
    </w:p>
    <w:p>
      <w:pPr>
        <w:snapToGrid w:val="0"/>
        <w:spacing w:after="0"/>
        <w:rPr>
          <w:sz w:val="16"/>
          <w:szCs w:val="16"/>
        </w:rPr>
      </w:pPr>
      <w:r>
        <w:rPr>
          <w:sz w:val="24"/>
          <w:szCs w:val="24"/>
          <w:lang w:val="ru-RU"/>
        </w:rPr>
        <w:t xml:space="preserve">                        </w:t>
      </w:r>
      <w:r>
        <w:rPr>
          <w:sz w:val="16"/>
          <w:szCs w:val="16"/>
          <w:lang w:val="ru-RU"/>
        </w:rPr>
        <w:t xml:space="preserve">                    </w:t>
      </w:r>
      <w:r>
        <w:rPr>
          <w:sz w:val="20"/>
          <w:szCs w:val="20"/>
          <w:lang w:val="ru-RU"/>
        </w:rPr>
        <w:t>(назва комісії)</w:t>
      </w:r>
    </w:p>
    <w:p>
      <w:pPr>
        <w:snapToGrid w:val="0"/>
        <w:spacing w:after="0"/>
        <w:ind w:firstLine="0"/>
        <w:rPr>
          <w:sz w:val="16"/>
          <w:szCs w:val="24"/>
        </w:rPr>
      </w:pPr>
      <w:r>
        <w:rPr>
          <w:sz w:val="24"/>
          <w:szCs w:val="24"/>
        </w:rPr>
        <w:t>проведення _________</w:t>
      </w:r>
      <w:r>
        <w:rPr>
          <w:rFonts w:hint="default"/>
          <w:sz w:val="24"/>
          <w:szCs w:val="24"/>
          <w:lang w:val="uk-UA"/>
        </w:rPr>
        <w:t>____</w:t>
      </w:r>
      <w:r>
        <w:rPr>
          <w:sz w:val="24"/>
          <w:szCs w:val="24"/>
        </w:rPr>
        <w:t>_____________ схвалено постановою окружної</w:t>
      </w:r>
      <w:r>
        <w:rPr>
          <w:sz w:val="24"/>
          <w:szCs w:val="24"/>
        </w:rPr>
        <w:br w:type="textWrapping"/>
      </w:r>
      <w:r>
        <w:rPr>
          <w:sz w:val="16"/>
          <w:szCs w:val="24"/>
        </w:rPr>
        <w:t xml:space="preserve">         </w:t>
      </w:r>
      <w:r>
        <w:rPr>
          <w:rFonts w:hint="default"/>
          <w:sz w:val="16"/>
          <w:szCs w:val="24"/>
          <w:lang w:val="uk-UA"/>
        </w:rPr>
        <w:t xml:space="preserve">   </w:t>
      </w:r>
      <w:r>
        <w:rPr>
          <w:sz w:val="16"/>
          <w:szCs w:val="24"/>
        </w:rPr>
        <w:t xml:space="preserve">    </w:t>
      </w:r>
      <w:r>
        <w:rPr>
          <w:sz w:val="20"/>
          <w:szCs w:val="20"/>
        </w:rPr>
        <w:t>(назва виборів, референдуму, дата)</w:t>
      </w:r>
    </w:p>
    <w:p>
      <w:pPr>
        <w:snapToGrid w:val="0"/>
        <w:spacing w:after="0"/>
        <w:ind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>
      <w:pPr>
        <w:snapToGrid w:val="0"/>
        <w:spacing w:after="0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(назва комісії)</w:t>
      </w:r>
    </w:p>
    <w:p>
      <w:pPr>
        <w:snapToGrid w:val="0"/>
        <w:spacing w:after="0"/>
        <w:ind w:firstLine="0"/>
        <w:rPr>
          <w:sz w:val="24"/>
          <w:szCs w:val="24"/>
        </w:rPr>
      </w:pPr>
      <w:r>
        <w:rPr>
          <w:sz w:val="24"/>
          <w:szCs w:val="24"/>
        </w:rPr>
        <w:t>від "___" __________ 20____ року № _____.</w:t>
      </w:r>
    </w:p>
    <w:p>
      <w:pPr>
        <w:snapToGrid w:val="0"/>
        <w:spacing w:after="0"/>
        <w:ind w:firstLine="0"/>
        <w:rPr>
          <w:sz w:val="24"/>
          <w:szCs w:val="24"/>
        </w:rPr>
      </w:pPr>
    </w:p>
    <w:p>
      <w:pPr>
        <w:snapToGrid w:val="0"/>
        <w:spacing w:after="0"/>
        <w:ind w:firstLine="0"/>
        <w:rPr>
          <w:sz w:val="12"/>
          <w:szCs w:val="24"/>
        </w:rPr>
      </w:pPr>
    </w:p>
    <w:tbl>
      <w:tblPr>
        <w:tblStyle w:val="3"/>
        <w:tblW w:w="9356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8"/>
        <w:gridCol w:w="1418"/>
        <w:gridCol w:w="603"/>
        <w:gridCol w:w="26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Голова (заступник голови) 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окружної  ____________________</w:t>
            </w:r>
          </w:p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     </w:t>
            </w:r>
            <w:r>
              <w:rPr>
                <w:sz w:val="20"/>
                <w:szCs w:val="20"/>
              </w:rPr>
              <w:t>(назва комісії)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3"/>
                <w:szCs w:val="23"/>
                <w:lang w:eastAsia="en-US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3"/>
                <w:szCs w:val="23"/>
                <w:lang w:eastAsia="en-US"/>
              </w:rPr>
            </w:pPr>
          </w:p>
        </w:tc>
        <w:tc>
          <w:tcPr>
            <w:tcW w:w="2657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3"/>
                <w:szCs w:val="23"/>
                <w:lang w:eastAsia="en-US"/>
              </w:rPr>
            </w:pPr>
          </w:p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3"/>
                <w:szCs w:val="23"/>
                <w:lang w:eastAsia="en-US"/>
              </w:rPr>
            </w:pPr>
          </w:p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3"/>
                <w:szCs w:val="23"/>
                <w:lang w:eastAsia="en-US"/>
              </w:rPr>
            </w:pPr>
          </w:p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3"/>
                <w:szCs w:val="23"/>
                <w:lang w:eastAsia="en-US"/>
              </w:rPr>
            </w:pPr>
            <w:r>
              <w:rPr>
                <w:rFonts w:eastAsia="Calibri"/>
                <w:sz w:val="23"/>
                <w:szCs w:val="23"/>
                <w:lang w:eastAsia="en-US"/>
              </w:rPr>
              <w:t>Власне ім’я, ПРІЗВИЩЕ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467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0"/>
                <w:szCs w:val="20"/>
                <w:vertAlign w:val="baseline"/>
              </w:rPr>
              <w:t>(підпис)</w:t>
            </w:r>
          </w:p>
        </w:tc>
        <w:tc>
          <w:tcPr>
            <w:tcW w:w="60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МП</w:t>
            </w:r>
          </w:p>
        </w:tc>
        <w:tc>
          <w:tcPr>
            <w:tcW w:w="2657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center"/>
              <w:rPr>
                <w:sz w:val="24"/>
                <w:szCs w:val="24"/>
                <w:vertAlign w:val="superscript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Головний бухгалтер окружної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sz w:val="24"/>
                <w:szCs w:val="24"/>
              </w:rPr>
              <w:t>____________________</w:t>
            </w:r>
          </w:p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 xml:space="preserve">        </w:t>
            </w:r>
            <w:r>
              <w:rPr>
                <w:sz w:val="20"/>
                <w:szCs w:val="20"/>
              </w:rPr>
              <w:t>(назва комісії)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center"/>
              <w:rPr>
                <w:sz w:val="24"/>
                <w:szCs w:val="24"/>
                <w:vertAlign w:val="superscript"/>
              </w:rPr>
            </w:pPr>
          </w:p>
        </w:tc>
        <w:tc>
          <w:tcPr>
            <w:tcW w:w="60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657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3"/>
                <w:szCs w:val="23"/>
                <w:lang w:eastAsia="en-US"/>
              </w:rPr>
            </w:pPr>
          </w:p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3"/>
                <w:szCs w:val="23"/>
                <w:lang w:eastAsia="en-US"/>
              </w:rPr>
            </w:pPr>
          </w:p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3"/>
                <w:szCs w:val="23"/>
                <w:lang w:eastAsia="en-US"/>
              </w:rPr>
            </w:pPr>
          </w:p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3"/>
                <w:szCs w:val="23"/>
                <w:lang w:eastAsia="en-US"/>
              </w:rPr>
            </w:pPr>
            <w:r>
              <w:rPr>
                <w:rFonts w:eastAsia="Calibri"/>
                <w:sz w:val="23"/>
                <w:szCs w:val="23"/>
                <w:lang w:eastAsia="en-US"/>
              </w:rPr>
              <w:t>Власне ім’я, ПРІЗВИЩЕ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0"/>
                <w:szCs w:val="20"/>
                <w:vertAlign w:val="baseline"/>
              </w:rPr>
              <w:t>(підпис)</w:t>
            </w:r>
          </w:p>
        </w:tc>
        <w:tc>
          <w:tcPr>
            <w:tcW w:w="60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left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657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after="0"/>
              <w:ind w:firstLine="0"/>
              <w:jc w:val="center"/>
              <w:rPr>
                <w:sz w:val="24"/>
                <w:szCs w:val="24"/>
                <w:vertAlign w:val="superscript"/>
              </w:rPr>
            </w:pPr>
          </w:p>
        </w:tc>
      </w:tr>
    </w:tbl>
    <w:p>
      <w:pPr>
        <w:spacing w:after="0"/>
        <w:ind w:left="3969" w:firstLine="0"/>
        <w:jc w:val="left"/>
        <w:rPr>
          <w:sz w:val="24"/>
          <w:szCs w:val="24"/>
        </w:rPr>
      </w:pPr>
    </w:p>
    <w:p/>
    <w:sectPr>
      <w:pgSz w:w="11906" w:h="16838"/>
      <w:pgMar w:top="600" w:right="866" w:bottom="1123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4125DD"/>
    <w:rsid w:val="2ACF6C95"/>
    <w:rsid w:val="2C41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60"/>
      <w:ind w:firstLine="720"/>
      <w:jc w:val="both"/>
    </w:pPr>
    <w:rPr>
      <w:rFonts w:ascii="Times New Roman" w:hAnsi="Times New Roman" w:eastAsia="Times New Roman" w:cs="Times New Roman"/>
      <w:sz w:val="28"/>
      <w:lang w:val="uk-UA" w:eastAsia="ru-RU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614</Words>
  <Characters>4523</Characters>
  <Lines>0</Lines>
  <Paragraphs>0</Paragraphs>
  <TotalTime>8</TotalTime>
  <ScaleCrop>false</ScaleCrop>
  <LinksUpToDate>false</LinksUpToDate>
  <CharactersWithSpaces>5427</CharactersWithSpaces>
  <Application>WPS Office_11.2.0.10233_F1E327BC-269C-435d-A152-05C5408002CA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2021-09-08T17:37:00Z</dcterms:created>
  <dc:creator> </dc:creator>
  <cp:lastModifiedBy>Анько</cp:lastModifiedBy>
  <dcterms:modified xsi:type="dcterms:W3CDTF">2021-09-08T17:47:10Z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1049-11.2.0.10233</vt:lpwstr>
  </property>
</Properties>
</file>