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A1" w:rsidRPr="002260EC" w:rsidRDefault="00CD75A1" w:rsidP="00CD75A1">
      <w:pPr>
        <w:keepLines/>
        <w:spacing w:after="240"/>
        <w:jc w:val="right"/>
        <w:rPr>
          <w:rFonts w:ascii="Times New Roman" w:hAnsi="Times New Roman"/>
          <w:noProof/>
          <w:sz w:val="28"/>
          <w:szCs w:val="28"/>
          <w:lang w:val="en-AU"/>
        </w:rPr>
      </w:pPr>
      <w:bookmarkStart w:id="0" w:name="_GoBack"/>
      <w:r w:rsidRPr="002260EC">
        <w:rPr>
          <w:rFonts w:ascii="Times New Roman" w:hAnsi="Times New Roman"/>
          <w:noProof/>
          <w:sz w:val="28"/>
          <w:szCs w:val="28"/>
          <w:lang w:val="en-AU"/>
        </w:rPr>
        <w:t>Додаток 5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br/>
        <w:t xml:space="preserve">до Правил </w:t>
      </w:r>
    </w:p>
    <w:p w:rsidR="00CD75A1" w:rsidRPr="002260EC" w:rsidRDefault="00CD75A1" w:rsidP="00CD75A1">
      <w:pPr>
        <w:spacing w:line="260" w:lineRule="exact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D75A1" w:rsidRPr="002260EC" w:rsidRDefault="00CD75A1" w:rsidP="00CD75A1">
      <w:pPr>
        <w:tabs>
          <w:tab w:val="left" w:pos="4962"/>
        </w:tabs>
        <w:spacing w:after="120" w:line="260" w:lineRule="exact"/>
        <w:ind w:left="4962" w:firstLine="141"/>
        <w:jc w:val="right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Гриф обмеження доступу</w:t>
      </w:r>
    </w:p>
    <w:p w:rsidR="00CD75A1" w:rsidRPr="002260EC" w:rsidRDefault="00CD75A1" w:rsidP="00CD75A1">
      <w:pPr>
        <w:spacing w:after="120" w:line="260" w:lineRule="exact"/>
        <w:ind w:left="5387"/>
        <w:jc w:val="right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D75A1" w:rsidRPr="002260EC" w:rsidRDefault="00CD75A1" w:rsidP="00CD75A1">
      <w:pPr>
        <w:spacing w:after="120" w:line="260" w:lineRule="exact"/>
        <w:ind w:left="5387"/>
        <w:jc w:val="right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D75A1" w:rsidRPr="002260EC" w:rsidRDefault="00CD75A1" w:rsidP="00CD75A1">
      <w:pPr>
        <w:keepLines/>
        <w:spacing w:after="240"/>
        <w:ind w:left="3828"/>
        <w:jc w:val="center"/>
        <w:rPr>
          <w:rFonts w:ascii="Times New Roman" w:hAnsi="Times New Roman"/>
          <w:noProof/>
          <w:sz w:val="20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ЗАТВЕРДЖЕНО ____________________________________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br/>
      </w:r>
      <w:r w:rsidRPr="002260EC">
        <w:rPr>
          <w:rFonts w:ascii="Times New Roman" w:hAnsi="Times New Roman"/>
          <w:noProof/>
          <w:sz w:val="20"/>
          <w:lang w:val="en-AU"/>
        </w:rPr>
        <w:t>(найменування посади керівника державного органу, органу місцевого самоврядування, до сфери управління якого належить об’єкт можливих терористичних посягань, юридичної особи, яка є власником об’єкта або використовує його відповідно до законодавства, фізичної особи, яка є власником об’єкта або використовує його на інших законних підставах)</w:t>
      </w:r>
    </w:p>
    <w:tbl>
      <w:tblPr>
        <w:tblW w:w="0" w:type="auto"/>
        <w:tblInd w:w="3969" w:type="dxa"/>
        <w:tblLook w:val="04A0" w:firstRow="1" w:lastRow="0" w:firstColumn="1" w:lastColumn="0" w:noHBand="0" w:noVBand="1"/>
      </w:tblPr>
      <w:tblGrid>
        <w:gridCol w:w="1819"/>
        <w:gridCol w:w="3851"/>
      </w:tblGrid>
      <w:tr w:rsidR="00CD75A1" w:rsidRPr="002260EC" w:rsidTr="00662C17">
        <w:tc>
          <w:tcPr>
            <w:tcW w:w="4643" w:type="dxa"/>
            <w:hideMark/>
          </w:tcPr>
          <w:p w:rsidR="00CD75A1" w:rsidRPr="002260EC" w:rsidRDefault="00CD75A1" w:rsidP="00662C17">
            <w:pPr>
              <w:jc w:val="center"/>
              <w:rPr>
                <w:rFonts w:ascii="Times New Roman" w:hAnsi="Times New Roman"/>
                <w:noProof/>
                <w:lang w:val="en-AU"/>
              </w:rPr>
            </w:pPr>
            <w:r w:rsidRPr="002260EC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</w:t>
            </w:r>
          </w:p>
          <w:p w:rsidR="00CD75A1" w:rsidRPr="002260EC" w:rsidRDefault="00CD75A1" w:rsidP="00662C17">
            <w:pPr>
              <w:jc w:val="center"/>
              <w:rPr>
                <w:rFonts w:ascii="Times New Roman" w:hAnsi="Times New Roman"/>
                <w:noProof/>
                <w:lang w:val="en-AU"/>
              </w:rPr>
            </w:pPr>
            <w:r w:rsidRPr="002260EC">
              <w:rPr>
                <w:rFonts w:ascii="Times New Roman" w:hAnsi="Times New Roman"/>
                <w:noProof/>
                <w:sz w:val="20"/>
                <w:lang w:val="en-AU"/>
              </w:rPr>
              <w:t>(підпис)</w:t>
            </w:r>
          </w:p>
        </w:tc>
        <w:tc>
          <w:tcPr>
            <w:tcW w:w="4644" w:type="dxa"/>
            <w:hideMark/>
          </w:tcPr>
          <w:p w:rsidR="00CD75A1" w:rsidRPr="002260EC" w:rsidRDefault="00CD75A1" w:rsidP="00662C17">
            <w:pPr>
              <w:keepLines/>
              <w:spacing w:after="24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2260EC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t>_________________________</w:t>
            </w:r>
            <w:r w:rsidRPr="002260EC"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  <w:br/>
            </w:r>
            <w:r w:rsidRPr="002260EC">
              <w:rPr>
                <w:rFonts w:ascii="Times New Roman" w:hAnsi="Times New Roman"/>
                <w:noProof/>
                <w:sz w:val="20"/>
                <w:lang w:val="en-AU"/>
              </w:rPr>
              <w:t>(власне ім’я, прізвище)</w:t>
            </w:r>
          </w:p>
        </w:tc>
      </w:tr>
    </w:tbl>
    <w:p w:rsidR="00CD75A1" w:rsidRPr="002260EC" w:rsidRDefault="00CD75A1" w:rsidP="00CD75A1">
      <w:pPr>
        <w:keepLines/>
        <w:spacing w:after="240"/>
        <w:ind w:left="3969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____   ___________ 20___  р.</w:t>
      </w:r>
    </w:p>
    <w:p w:rsidR="00CD75A1" w:rsidRPr="002260EC" w:rsidRDefault="00CD75A1" w:rsidP="00CD75A1">
      <w:pPr>
        <w:keepLines/>
        <w:spacing w:after="240"/>
        <w:ind w:left="3969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 xml:space="preserve">МП </w:t>
      </w:r>
      <w:r w:rsidRPr="002260EC">
        <w:rPr>
          <w:rFonts w:ascii="Times New Roman" w:hAnsi="Times New Roman"/>
          <w:noProof/>
          <w:sz w:val="20"/>
          <w:lang w:val="en-AU"/>
        </w:rPr>
        <w:t>(у разі наявності)</w:t>
      </w:r>
    </w:p>
    <w:p w:rsidR="00CD75A1" w:rsidRPr="002260EC" w:rsidRDefault="00CD75A1" w:rsidP="00CD75A1">
      <w:pPr>
        <w:tabs>
          <w:tab w:val="left" w:leader="underscore" w:pos="7865"/>
          <w:tab w:val="left" w:pos="8316"/>
        </w:tabs>
        <w:spacing w:line="260" w:lineRule="exact"/>
        <w:ind w:left="7380"/>
        <w:jc w:val="right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</w:p>
    <w:p w:rsidR="00CD75A1" w:rsidRPr="002260EC" w:rsidRDefault="00CD75A1" w:rsidP="00CD75A1">
      <w:pPr>
        <w:pStyle w:val="ae"/>
        <w:keepNext w:val="0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ПАСПОРТ </w:t>
      </w: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br/>
        <w:t>антитерористичної захищеності об’єкта можливих терористичних посягань</w:t>
      </w:r>
    </w:p>
    <w:p w:rsidR="00CD75A1" w:rsidRPr="002260EC" w:rsidRDefault="00CD75A1" w:rsidP="00CD75A1">
      <w:pPr>
        <w:tabs>
          <w:tab w:val="left" w:pos="8364"/>
        </w:tabs>
        <w:spacing w:before="60"/>
        <w:ind w:right="238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___________________________________________________________________</w:t>
      </w:r>
    </w:p>
    <w:p w:rsidR="00CD75A1" w:rsidRPr="002260EC" w:rsidRDefault="00CD75A1" w:rsidP="00CD75A1">
      <w:pPr>
        <w:ind w:right="238"/>
        <w:jc w:val="center"/>
        <w:rPr>
          <w:rFonts w:ascii="Times New Roman" w:hAnsi="Times New Roman"/>
          <w:noProof/>
          <w:color w:val="000000"/>
          <w:sz w:val="20"/>
          <w:lang w:val="en-AU"/>
        </w:rPr>
      </w:pPr>
      <w:r w:rsidRPr="002260EC">
        <w:rPr>
          <w:rFonts w:ascii="Times New Roman" w:hAnsi="Times New Roman"/>
          <w:noProof/>
          <w:color w:val="000000"/>
          <w:sz w:val="20"/>
          <w:lang w:val="en-AU"/>
        </w:rPr>
        <w:t>(найменування об’єкта</w:t>
      </w:r>
      <w:r w:rsidRPr="002260EC">
        <w:rPr>
          <w:rFonts w:ascii="Times New Roman" w:hAnsi="Times New Roman"/>
          <w:noProof/>
          <w:sz w:val="20"/>
          <w:lang w:val="en-AU"/>
        </w:rPr>
        <w:t xml:space="preserve"> можливих терористичних посягань</w:t>
      </w:r>
      <w:r w:rsidRPr="002260EC">
        <w:rPr>
          <w:rFonts w:ascii="Times New Roman" w:hAnsi="Times New Roman"/>
          <w:noProof/>
          <w:color w:val="000000"/>
          <w:sz w:val="20"/>
          <w:lang w:val="en-AU"/>
        </w:rPr>
        <w:t>)</w:t>
      </w:r>
    </w:p>
    <w:p w:rsidR="00CD75A1" w:rsidRPr="002260EC" w:rsidRDefault="00CD75A1" w:rsidP="00CD75A1">
      <w:pPr>
        <w:widowControl w:val="0"/>
        <w:spacing w:line="322" w:lineRule="exact"/>
        <w:ind w:firstLine="600"/>
        <w:rPr>
          <w:rFonts w:ascii="Times New Roman" w:hAnsi="Times New Roman"/>
          <w:b/>
          <w:bCs/>
          <w:i/>
          <w:iCs/>
          <w:noProof/>
          <w:color w:val="000000"/>
          <w:sz w:val="28"/>
          <w:szCs w:val="28"/>
          <w:lang w:val="en-AU" w:eastAsia="uk-UA"/>
        </w:rPr>
      </w:pPr>
    </w:p>
    <w:p w:rsidR="00CD75A1" w:rsidRPr="002260EC" w:rsidRDefault="00CD75A1" w:rsidP="00CD75A1">
      <w:pPr>
        <w:pStyle w:val="a5"/>
        <w:spacing w:before="360" w:after="240"/>
        <w:ind w:firstLine="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Загальні відомості</w:t>
      </w:r>
    </w:p>
    <w:p w:rsidR="00CD75A1" w:rsidRPr="002260EC" w:rsidRDefault="00CD75A1" w:rsidP="00CD75A1">
      <w:pPr>
        <w:pStyle w:val="a5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Відомості про державний орган, орган місцевого самоврядування, до сфери управління якого належить об’єкт можливих терористичних посягань (далі - об’єкт), юридичну особу, яка є власником об’єкта або використовує його відповідно до законодавства, фізичну особу, яка є власником об’єкта або використовує його на інших законних підставах:</w:t>
      </w:r>
    </w:p>
    <w:p w:rsidR="00CD75A1" w:rsidRPr="002260EC" w:rsidRDefault="00CD75A1" w:rsidP="00CD75A1">
      <w:pPr>
        <w:pStyle w:val="a5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повне і скорочене найменування (прізвище, власне ім’я, по батькові (за наявності) фізичної особи, яка є власником об’єкта або використовує його на інших законних підставах);</w:t>
      </w:r>
    </w:p>
    <w:p w:rsidR="00CD75A1" w:rsidRPr="002260EC" w:rsidRDefault="00CD75A1" w:rsidP="00CD75A1">
      <w:pPr>
        <w:pStyle w:val="a5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місцезнаходження, поштова адреса, номер телефону, адреса електронної пошти;</w:t>
      </w:r>
    </w:p>
    <w:p w:rsidR="00CD75A1" w:rsidRPr="002260EC" w:rsidRDefault="00CD75A1" w:rsidP="00CD75A1">
      <w:pPr>
        <w:pStyle w:val="a5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форма власності (державна, приватна тощо), розмір частки держави в статутному капіталі господарського товариства (за наявності);</w:t>
      </w:r>
    </w:p>
    <w:p w:rsidR="00CD75A1" w:rsidRPr="002260EC" w:rsidRDefault="00CD75A1" w:rsidP="00CD75A1">
      <w:pPr>
        <w:pStyle w:val="a5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керівник державного органу, органу місцевого самоврядування, до сфери управління якого належить об’єкт, юридичної особи, яка є власником </w:t>
      </w: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lastRenderedPageBreak/>
        <w:t>об’єкта або використовує його відповідно до законодавства (найменування посади, прізвище, власне ім’я, по батькові (за наявності), контактні дані);</w:t>
      </w:r>
    </w:p>
    <w:p w:rsidR="00CD75A1" w:rsidRPr="002260EC" w:rsidRDefault="00CD75A1" w:rsidP="00CD75A1">
      <w:pPr>
        <w:pStyle w:val="a5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інформація про осіб (прізвище, власне ім’я, по батькові (за наявності), контактні дані), відповідальних за:</w:t>
      </w:r>
    </w:p>
    <w:p w:rsidR="00CD75A1" w:rsidRPr="002260EC" w:rsidRDefault="00CD75A1" w:rsidP="00CD75A1">
      <w:pPr>
        <w:pStyle w:val="a5"/>
        <w:tabs>
          <w:tab w:val="left" w:pos="993"/>
        </w:tabs>
        <w:ind w:left="567" w:firstLine="0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складення паспорта;</w:t>
      </w:r>
    </w:p>
    <w:p w:rsidR="00CD75A1" w:rsidRPr="002260EC" w:rsidRDefault="00CD75A1" w:rsidP="00CD75A1">
      <w:pPr>
        <w:pStyle w:val="a5"/>
        <w:tabs>
          <w:tab w:val="left" w:pos="993"/>
        </w:tabs>
        <w:ind w:left="567" w:firstLine="0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цивільний захист на об’єкті;</w:t>
      </w:r>
    </w:p>
    <w:p w:rsidR="00CD75A1" w:rsidRPr="002260EC" w:rsidRDefault="00CD75A1" w:rsidP="00CD75A1">
      <w:pPr>
        <w:pStyle w:val="a5"/>
        <w:tabs>
          <w:tab w:val="left" w:pos="993"/>
        </w:tabs>
        <w:ind w:left="567" w:firstLine="0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охорону і пропускний режим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криптографічний та технічний захист інформації, протидію технічним розвідкам на об’єкті (за наявності об’єктів протидії);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кіберзахист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протипожежну безпеку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проведення заходів щодо запобігання виникненню надзвичайних ситуацій, зокрема спричинених терористичними актами, реагування на надзвичайні ситуації та ліквідації їх наслідків, надання необхідної допомоги потерпілим внаслідок надзвичайної ситуації.</w:t>
      </w:r>
    </w:p>
    <w:p w:rsidR="00CD75A1" w:rsidRPr="002260EC" w:rsidRDefault="00CD75A1" w:rsidP="00CD75A1">
      <w:pPr>
        <w:pStyle w:val="a5"/>
        <w:ind w:left="567" w:firstLine="0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2. Джерела інформації для розроблення паспорта.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3. Дата розроблення паспорта або оновлення включених до нього відомостей.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4. Повне і скорочене найменування об’єкта.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5. Місцезнаходження об’єкта. 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6. Поштова адреса, номер телефону, адреса електронної пошти.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 xml:space="preserve">7. Основний вид діяльності на об’єкті. 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8. Наявність документа дозвільного характеру, яким надано право на провадження діяльності певного виду на об’єкті.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9. Розміщення об’єкта щодо транспортних комунікацій: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1) найменування найближчої залізничної станції та відстань до неї (кілометрів);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2) найменування найближчого аеропорту, вертолітного майданчика та відстань до них (кілометрів);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3) найменування найближчого морського порту (пристані) та відстань до нього (кілометрів).</w:t>
      </w:r>
    </w:p>
    <w:p w:rsidR="00CD75A1" w:rsidRPr="002260EC" w:rsidRDefault="00CD75A1" w:rsidP="00CD75A1">
      <w:pPr>
        <w:pStyle w:val="ae"/>
        <w:rPr>
          <w:rFonts w:ascii="Times New Roman" w:hAnsi="Times New Roman"/>
          <w:b w:val="0"/>
          <w:noProof/>
          <w:sz w:val="28"/>
          <w:lang w:val="en-AU"/>
        </w:rPr>
      </w:pPr>
      <w:r w:rsidRPr="002260EC">
        <w:rPr>
          <w:rFonts w:ascii="Times New Roman" w:hAnsi="Times New Roman"/>
          <w:b w:val="0"/>
          <w:noProof/>
          <w:sz w:val="28"/>
          <w:lang w:val="en-AU"/>
        </w:rPr>
        <w:t>Характеристика об’єкта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10. Відвідуваність (чисельність персоналу та відвідувачів) об’єкта за добу.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11. Кількість приміщень, їх загальна площа.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12. Параметри та особливості території, що охороняється: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1) площа об’єкта разом з прилеглою до нього територією (кв. метрів);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lastRenderedPageBreak/>
        <w:t>2) периметр всієї території об’єкта (кв. метрів);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3) характеристика та особливості споруджень об’єкта.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13. Інженерні спорудження: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1) огородження за периметром прилеглої території (в тому числі матеріал, з якого його виготовлено);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2) обладнання огородження по всій протяжності додатковими захисними засобами;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 xml:space="preserve">3) наявність на прилеглій до об’єкта території </w:t>
      </w: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майданчиків для паркування транспортних засобів</w:t>
      </w: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місце розташування;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площа майданчиків;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кількість місць для паркування;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наявність системи пропуску та охорони;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маршрути руху;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місця для виконання вантажно-розвантажувальних робіт;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прилеглі транспортні магістралі;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4) пропускний режим для персоналу та відвідувачів об’єкта.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14. Розташування об’єкта щодо об’єктів інфраструктури, з якими він межує.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 xml:space="preserve">15. </w:t>
      </w: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Найменування найближчих закладів охорони здоров’я для розміщення потерпілих та відстань до них.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 xml:space="preserve">16. </w:t>
      </w: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Системи і засоби технічного і криптографічного захисту інформації з посиланням на документи, що засвідчують їх відповідність, та місце (підрозділ) зберігання організаційно-технічної документації (для об’єктів кіберзахисту).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17. Системи і засоби кіберзахисту з посиланням на документи, що засвідчують їх відповідність, та місце (підрозділ) зберігання організаційно- технічної документації (для об’єктів  кіберзахисту).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18. Інженерні системи об’єкта: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1) основне та резервне електропостачання об’єкта, наявність автономного електроживлення;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2) газопостачання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3) водопостачання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4) теплопостачання (опалення) об’єкта (централізоване, автономне);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5) системи вентиляції, кондиціювання повітря об’єкта, пульт керування і засувки;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6) місце зберігання проектної та експлуатаційної документації на зазначені системи, відповідальна посадова особа та її номер телефону;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lastRenderedPageBreak/>
        <w:t>7) місце зберігання сигнальної стрічки (для обмеження небезпечної зони), попереджувальні та обмежувальні знаки і таблички.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color w:val="000000"/>
          <w:sz w:val="28"/>
          <w:szCs w:val="28"/>
          <w:lang w:val="en-AU" w:eastAsia="uk-UA"/>
        </w:rPr>
        <w:t>19. Системи і засоби протидії технічним розвідкам (за наявності об’єктів протидії) з посиланням на документи, що засвідчують їх відповідність, та місце (підрозділ) зберігання організаційно-технічної документації (для об’єктів протидії).</w:t>
      </w:r>
    </w:p>
    <w:p w:rsidR="00CD75A1" w:rsidRPr="002260EC" w:rsidRDefault="00CD75A1" w:rsidP="00CD75A1">
      <w:pPr>
        <w:pStyle w:val="a5"/>
        <w:spacing w:before="360" w:after="240"/>
        <w:ind w:firstLine="0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Відомості про персонал об’єкта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  <w:t>20. Чисельність персоналу об’єкта.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  <w:t>21. Кількість підрозділів (служб) та їх структура.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 xml:space="preserve">22. </w:t>
      </w: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Особа, яка здійснює безпосереднє керівництво діяльністю персоналу об’єкта, або уповноважена нею особа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t xml:space="preserve"> (</w:t>
      </w:r>
      <w:r w:rsidRPr="002260EC">
        <w:rPr>
          <w:rFonts w:ascii="Times New Roman" w:hAnsi="Times New Roman"/>
          <w:noProof/>
          <w:color w:val="000000"/>
          <w:sz w:val="28"/>
          <w:szCs w:val="28"/>
          <w:lang w:val="en-AU"/>
        </w:rPr>
        <w:t>прізвище, власне ім’я, по батькові (за наявності), контактні дані).</w:t>
      </w:r>
    </w:p>
    <w:p w:rsidR="00CD75A1" w:rsidRPr="002260EC" w:rsidRDefault="00CD75A1" w:rsidP="00CD75A1">
      <w:pPr>
        <w:pStyle w:val="a5"/>
        <w:spacing w:before="360" w:after="240"/>
        <w:ind w:firstLine="0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Відомості про сили та засоби, які здійснюють охорону об’єкта та залучаються до ліквідації наслідків надзвичайних ситуацій, пожеж та інших небезпечних подій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23. Огородження за периметром об’єкта (матеріал огородження).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24. 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t>Посилення огородження по всій протяжності додатковими захисними засобами.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bCs/>
          <w:noProof/>
          <w:sz w:val="28"/>
          <w:szCs w:val="28"/>
          <w:lang w:val="en-AU" w:eastAsia="uk-UA"/>
        </w:rPr>
        <w:t>25.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t xml:space="preserve"> Сили фізичної охорони об’єкта - вид і чисельність охорони об’єкта (підрозділ (служба) внутрішньої охорони об’єкта (за наявності) та/або поліція охорони Національної поліції, Національна гвардія, суб’єкт охоронної діяльності, що провадить охоронну діяльність на підставі отриманої у встановленому порядку ліцензії, тощо).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u w:val="single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26. Порядок взаємодії (радіозв’язок, фіксований або мобільний зв’язок).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bCs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27. 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t>Режим охорони об’єкта.</w:t>
      </w:r>
      <w:r w:rsidRPr="002260EC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 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28. 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t>Заходи щодо посилення охорони.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bCs/>
          <w:noProof/>
          <w:sz w:val="28"/>
          <w:szCs w:val="28"/>
          <w:u w:val="single"/>
          <w:lang w:val="en-AU" w:eastAsia="uk-UA"/>
        </w:rPr>
      </w:pPr>
      <w:r w:rsidRPr="002260EC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29. </w:t>
      </w:r>
      <w:r w:rsidRPr="002260EC">
        <w:rPr>
          <w:rFonts w:ascii="Times New Roman" w:hAnsi="Times New Roman"/>
          <w:noProof/>
          <w:sz w:val="28"/>
          <w:szCs w:val="28"/>
          <w:lang w:val="en-AU"/>
        </w:rPr>
        <w:t>Технічні засоби охорони об’єкта: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наявність на об’єкті таких технічних засобів: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засобів виявлення та сигналізації;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засобів оповіщення;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стаціонарних, ручних металодетекторів, інтроскопів; 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засобів локалізації вибуху, примусової зупинки автотранспорту, контролю за доступом, охорони та захисту із зазначенням найменування обладнання, його кількості, найменування виробника, року виготовлення, строку експлуатації;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2) обладнання постів (приміщень) кнопками екстреного виклику (тривожної сигналізації) підрозділу Національної поліції та/або суб’єкта охоронної діяльності;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lastRenderedPageBreak/>
        <w:t>3) обладнання корпусів (приміщень) об’єкта охоронно-пожежною сигналізацією.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30. Засоби озброєння, спеціальні та інші засоби фізичної охорони  об’єкта: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службова табельна вогнепальна та холодна зброя;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захисні засоби (бронежилет, шолом тощо);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спеціальні засоби (кийок гумовий, газовий пістолет, аерозольний балончик із сльозогінним (перцевим) газом тощо);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4) службові собаки.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31. Організація зв’язку: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засоби зв’язку між постами та центральним пунктом, включаючи резервні канали радіозв’язку (за наявності центрального пункту);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радіозв’язок, фіксований або мобільний зв’язок з керівництвом підрозділу (служби) внутрішньої охорони об’єкта (за наявності) та/або суб’єкта охоронної діяльності.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32. Територіальні підрозділи СБУ, Національної поліції, що забезпечують безпеку об’єкта, підрозділ ДСНС, у районі виїзду якого розташований об’єкт, та аварійно-рятувальна служба, яка здійснює аварійно-рятувальне обслуговування: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найближче відділення поліції;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найближчий територіальний підрозділ управління СБУ;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підрозділ ДСНС;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4) аварійно-рятувальна служба.</w:t>
      </w:r>
    </w:p>
    <w:p w:rsidR="00CD75A1" w:rsidRPr="002260EC" w:rsidRDefault="00CD75A1" w:rsidP="00CD75A1">
      <w:pPr>
        <w:pStyle w:val="a5"/>
        <w:spacing w:before="360" w:after="240"/>
        <w:ind w:firstLine="0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Забезпечення пожежної та техногенної безпеки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33. Наявність на об’єкті відповідних документів (наказів, інструкцій тощо) про встановлення протипожежного режиму, який визначає: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порядок утримання шляхів евакуації;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спеціальні місця для куріння;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порядок застосування відкритого вогню;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4) порядок використання побутових нагрівальних приладів;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5) порядок проведення тимчасових пожежонебезпечних робіт;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6) правила проїзду та стоянки транспортних засобів;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7) місця для зберігання і допустиму кількість сировини, напівфабрикатів та готової продукції, що можуть одночасно розміщуватися у приміщеннях об’єкта і на прилеглій до нього території;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8) порядок прибирання горючого пилу та відходів, зберігання промасленого спеціального одягу та ганчір’я, очищення елементів вентиляційних систем;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lastRenderedPageBreak/>
        <w:t>9) порядок відключення від мережі електроживлення обладнання та вентиляційних систем у разі пожежі;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10) порядок огляду та зачинення приміщень після закінчення роботи;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11) порядок проходження посадовими особами навчання та проведення перевірки знань з питань пожежної безпеки, а також проведення з персоналом об’єкта протипожежних інструктажів та занять з пожежно-технічного мінімуму з призначенням осіб, відповідальних за їх проведення;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12)  порядок організації експлуатації і обслуговування наявних засобів протипожежного захисту;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13) порядок проведення планово-запобіжного ремонту та огляду електроустановок, опалювального, вентиляційного, технологічного та іншого інженерного обладнання;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14) порядок збору членів пожежно-рятувального підрозділу добровільної пожежної охорони та посадових осіб, відповідальних за пожежну безпеку, у разі виникнення пожежі, виклику вночі, у вихідні та святкові дні;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15) порядок дій у разі виникнення пожежі (порядок і способи оповіщення людей, виклику пожежно-рятувальних підрозділів).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34. Наявність та стан із зазначенням у додатку на схемі: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евакуаційних виходів та шляхів евакуації;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систем пожежної сигналізації;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систем пожежогасіння (водяного, пінного, газового, порошкового або аерозольного);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4) систем протидимного захисту;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5) систем керування евакуацією;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6) пожежних гідрантів та пожежних резервуарів (водойм);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7) пожежних щитів;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8) пожежних кранів-комплектів;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9) первинних засобів пожежогасіння (вогнегасників);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10) під’їздів для пожежних автомобілів.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35. Наявність на об’єкті відповідних організаційно-розпорядчих документів щодо забезпечення техногенної безпеки, здійснення постійного контролю за їх виконанням.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36. Відомості щодо забезпечення персоналу об’єкта засобами колективного та індивідуального захисту.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37. Порядок проходження персоналом об’єкта навчань щодо дій у разі виникнення надзвичайних ситуацій, порядку укриття в захисних спорудах цивільного захисту, обслуговування захисних споруд цивільного захисту та їх утримання.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lastRenderedPageBreak/>
        <w:t>38. Порядок проведення об’єктових тренувань і навчань з питань цивільного захисту з урахуванням вимог техногенної безпеки.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39. Відомості щодо виконання у разі потреби інших завдань (заходів)  щодо забезпечення техногенної безпеки з урахуванням вимог Кодексу цивільного захисту України, Правил техногенної безпеки, затверджених наказом МВС від 5 листопада 2018 р. № 879, норм і стандартів стосовно забезпечення техногенної безпеки на об’єкті.</w:t>
      </w:r>
    </w:p>
    <w:p w:rsidR="00CD75A1" w:rsidRPr="002260EC" w:rsidRDefault="00CD75A1" w:rsidP="00CD75A1">
      <w:pPr>
        <w:pStyle w:val="a5"/>
        <w:spacing w:before="360" w:after="240" w:line="232" w:lineRule="auto"/>
        <w:ind w:firstLine="0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Прогнозовані моделі терористичних актів щодо об’єкта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40. Відомості про терористичні акти, що вчинені на об’єкті, із зазначенням причин їх виникнення.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41. Інформація про можливі терористичні акти: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загроза вибуху (підпалу) або вибух (підпал) на об’єкті;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захоплення заручників із числа персоналу та відвідувачів об’єкта із зазначенням їх приблизної кількості;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виведення з ладу або несанкціоноване втручання в роботу систем газо-, водо-, електропостачання та інших комунікацій об’єкта (з прив’язкою до зон та приміщень об’єкта);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4) вчинення кібератаки на комунікаційну або технологічну систему об’єкта, несанкціонованих дій, виникнення кіберінцидентів, що можуть призвести до порушення конфіденційності, цілісності чи доступності інформації шляхом створення технічних каналів витоку (впливу);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5) інші можливі терористичні атаки.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42. Можливі наслідки вчинення терористичного акту на об’єкті та прилеглій до нього території: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приблизна кількість загиблих;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приблизна кількість потерпілих (поранених), заражених;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 xml:space="preserve">інші наслідки. </w:t>
      </w:r>
    </w:p>
    <w:p w:rsidR="00CD75A1" w:rsidRPr="002260EC" w:rsidRDefault="00CD75A1" w:rsidP="00CD75A1">
      <w:pPr>
        <w:pStyle w:val="a5"/>
        <w:spacing w:before="240" w:after="120" w:line="232" w:lineRule="auto"/>
        <w:ind w:firstLine="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Заходи, які здійснюються та плануються для здійснення, щодо зміцнення антитерористичного захисту та зниження рівня уразливості об’єкта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43. Першочергові, невідкладні заходи: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посилення охорони уразливих ділянок та споруджень за периметром об’єкта;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обладнання локальних зон безпеки;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збільшення чисельності сил та засобів, залучених для охорони об’єкта;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4) інші заходи.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44. Довгострокові заходи: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1) переобладнання системи охорони;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2) обладнання сучасних систем інженерно-технічних засобів охорони: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lastRenderedPageBreak/>
        <w:t xml:space="preserve">обладнання комплексом охоронної сигналізації та системи відеоспостереження; 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забезпечення на об’єкті конфіденційності, цілісності і доступності інформації, які можуть бути порушені шляхом створення технічних каналів витоку або впливу на інформацію, інші заходи, спрямовані на запобігання кіберінцидентам, виявлення та захист від кібератак;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3) інші заходи.</w:t>
      </w:r>
    </w:p>
    <w:p w:rsidR="00CD75A1" w:rsidRPr="002260EC" w:rsidRDefault="00CD75A1" w:rsidP="00CD75A1">
      <w:pPr>
        <w:pStyle w:val="a5"/>
        <w:spacing w:before="240" w:after="120" w:line="232" w:lineRule="auto"/>
        <w:ind w:firstLine="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Відомості щодо інформації і ресурсів, уразливих технічними каналами витоку (впливу), та дані про виконання на об’єкті загальних вимог до кіберзахисту об’єктів критичної інфраструктури</w:t>
      </w:r>
    </w:p>
    <w:p w:rsidR="00CD75A1" w:rsidRPr="002260EC" w:rsidRDefault="00CD75A1" w:rsidP="00CD75A1">
      <w:pPr>
        <w:pStyle w:val="a5"/>
        <w:spacing w:line="232" w:lineRule="auto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45. Режимні приміщення, інформаційні засоби і системи, в яких обробляється інформація з обмеженим доступом, із зазначенням їх категорії (I-IV) і класу (1-3).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46. Комунікаційні та технологічні системи, критично-важливі для функціонування об’єкта, із зазначенням фактичного місцезнаходження серверного обладнання, ІР-адрес, операторів/провайдерів комунікаційних послуг.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47. Інформаційні ресурси (реєстри, бази даних, програмне забезпечення тощо), критично важливі для функціонування об’єкта, із зазначенням серверів і автоматизованих робочих місць (комп’ютерів), де вони зберігаються (інстальовані).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48. Відомості щодо виконання на об’єкті Загальних вимог до кіберзахисту об’єктів критичної інфраструктури, затверджених постановою Кабінету Міністрів України від 19 червня 2019 р. № 518.</w:t>
      </w:r>
    </w:p>
    <w:p w:rsidR="00CD75A1" w:rsidRPr="002260EC" w:rsidRDefault="00CD75A1" w:rsidP="00CD75A1">
      <w:pPr>
        <w:pStyle w:val="a5"/>
        <w:spacing w:before="360" w:after="240"/>
        <w:ind w:firstLine="0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План об’єкта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49. План, що містить позначення: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1) ділянок і установок об’єкта, можливі підходи до них, у тому числі прихованих у підземних комунікаціях;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2) розміщення інженерних споруд охорони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3) розташування постів охорони;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4) місця прихованого зосередження резервних груп і маршрутів висунення до елементів інженерних споруд та уразливих елементів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5) місця розташування штабу операції;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6) загальних схем інженерних комунікацій (траси теплових мереж, прохідних тунелів з комунікаціями, каналізації тощо);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7) загальних схем електронних комунікаційних мереж об’єкта;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t>8) секторів і ділянок об’єкта, на яких заборонено застосування вогнепальної зброї, вибухових та спеціальних засобів;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/>
        </w:rPr>
        <w:lastRenderedPageBreak/>
        <w:t>9) приміщень і споруд об’єкта, в яких неможливе використання радіозв’язку.</w:t>
      </w:r>
    </w:p>
    <w:p w:rsidR="00CD75A1" w:rsidRPr="002260EC" w:rsidRDefault="00CD75A1" w:rsidP="00CD75A1">
      <w:pPr>
        <w:pStyle w:val="a5"/>
        <w:spacing w:before="360" w:after="240"/>
        <w:ind w:firstLine="0"/>
        <w:jc w:val="center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Забезпечення режиму секретності</w:t>
      </w:r>
    </w:p>
    <w:p w:rsidR="00CD75A1" w:rsidRPr="002260EC" w:rsidRDefault="00CD75A1" w:rsidP="00CD75A1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 w:eastAsia="uk-UA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50. Наявність на об’єкті режимно-секретного органу, його чисельність (штатна, фактична).</w:t>
      </w:r>
    </w:p>
    <w:p w:rsidR="00690640" w:rsidRPr="002260EC" w:rsidRDefault="00CD75A1" w:rsidP="00CD75A1">
      <w:pPr>
        <w:rPr>
          <w:noProof/>
          <w:lang w:val="en-AU"/>
        </w:rPr>
      </w:pPr>
      <w:r w:rsidRPr="002260EC">
        <w:rPr>
          <w:rFonts w:ascii="Times New Roman" w:hAnsi="Times New Roman"/>
          <w:noProof/>
          <w:sz w:val="28"/>
          <w:szCs w:val="28"/>
          <w:lang w:val="en-AU" w:eastAsia="uk-UA"/>
        </w:rPr>
        <w:t>51. Заходи щодо забезпечення режиму секретності та збереження секретних відомостей в разі виникнення надзвичайної ситуації на об’єкті.</w:t>
      </w:r>
      <w:bookmarkEnd w:id="0"/>
    </w:p>
    <w:sectPr w:rsidR="00690640" w:rsidRPr="002260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C4A6D"/>
    <w:multiLevelType w:val="hybridMultilevel"/>
    <w:tmpl w:val="483ED5E0"/>
    <w:lvl w:ilvl="0" w:tplc="26B8D24C">
      <w:start w:val="1"/>
      <w:numFmt w:val="decimal"/>
      <w:lvlText w:val="%1.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B8A4096"/>
    <w:multiLevelType w:val="hybridMultilevel"/>
    <w:tmpl w:val="4DE6F5EC"/>
    <w:lvl w:ilvl="0" w:tplc="27AE9546">
      <w:start w:val="1"/>
      <w:numFmt w:val="decimal"/>
      <w:lvlText w:val="%1)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11A20BC"/>
    <w:multiLevelType w:val="hybridMultilevel"/>
    <w:tmpl w:val="FFFFFFFF"/>
    <w:lvl w:ilvl="0" w:tplc="F9B43212">
      <w:start w:val="25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22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22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22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2B11AE4"/>
    <w:multiLevelType w:val="hybridMultilevel"/>
    <w:tmpl w:val="FFFFFFFF"/>
    <w:lvl w:ilvl="0" w:tplc="F9B43212">
      <w:start w:val="2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Times New Roman" w:hint="default"/>
      </w:rPr>
    </w:lvl>
    <w:lvl w:ilvl="2" w:tplc="0422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Times New Roman" w:hint="default"/>
      </w:rPr>
    </w:lvl>
    <w:lvl w:ilvl="5" w:tplc="0422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Times New Roman" w:hint="default"/>
      </w:rPr>
    </w:lvl>
    <w:lvl w:ilvl="8" w:tplc="0422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5A1"/>
    <w:rsid w:val="002260EC"/>
    <w:rsid w:val="002F5E17"/>
    <w:rsid w:val="00690640"/>
    <w:rsid w:val="00CD75A1"/>
    <w:rsid w:val="00E1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BC5C9-30BD-4B2C-B2E7-0E5434E61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5A1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D75A1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rsid w:val="00CD75A1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CD75A1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rsid w:val="00CD75A1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D75A1"/>
    <w:rPr>
      <w:rFonts w:ascii="Antiqua" w:eastAsia="Times New Roman" w:hAnsi="Antiqua"/>
      <w:b/>
      <w:smallCaps/>
      <w:color w:val="auto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D75A1"/>
    <w:rPr>
      <w:rFonts w:ascii="Antiqua" w:eastAsia="Times New Roman" w:hAnsi="Antiqua"/>
      <w:b/>
      <w:color w:val="auto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D75A1"/>
    <w:rPr>
      <w:rFonts w:ascii="Antiqua" w:eastAsia="Times New Roman" w:hAnsi="Antiqua"/>
      <w:b/>
      <w:i/>
      <w:color w:val="auto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D75A1"/>
    <w:rPr>
      <w:rFonts w:ascii="Antiqua" w:eastAsia="Times New Roman" w:hAnsi="Antiqua"/>
      <w:color w:val="auto"/>
      <w:sz w:val="26"/>
      <w:szCs w:val="20"/>
      <w:lang w:eastAsia="ru-RU"/>
    </w:rPr>
  </w:style>
  <w:style w:type="paragraph" w:styleId="a3">
    <w:name w:val="footer"/>
    <w:basedOn w:val="a"/>
    <w:link w:val="a4"/>
    <w:rsid w:val="00CD75A1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rsid w:val="00CD75A1"/>
    <w:rPr>
      <w:rFonts w:ascii="Antiqua" w:eastAsia="Times New Roman" w:hAnsi="Antiqua"/>
      <w:color w:val="auto"/>
      <w:sz w:val="26"/>
      <w:szCs w:val="20"/>
      <w:lang w:eastAsia="ru-RU"/>
    </w:rPr>
  </w:style>
  <w:style w:type="paragraph" w:customStyle="1" w:styleId="a5">
    <w:name w:val="Нормальний текст"/>
    <w:basedOn w:val="a"/>
    <w:rsid w:val="00CD75A1"/>
    <w:pPr>
      <w:spacing w:before="120"/>
      <w:ind w:firstLine="567"/>
    </w:pPr>
  </w:style>
  <w:style w:type="paragraph" w:customStyle="1" w:styleId="a6">
    <w:name w:val="Шапка документу"/>
    <w:basedOn w:val="a"/>
    <w:rsid w:val="00CD75A1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rsid w:val="00CD75A1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rsid w:val="00CD75A1"/>
    <w:rPr>
      <w:rFonts w:ascii="Antiqua" w:eastAsia="Times New Roman" w:hAnsi="Antiqua"/>
      <w:color w:val="auto"/>
      <w:sz w:val="26"/>
      <w:szCs w:val="20"/>
      <w:lang w:eastAsia="ru-RU"/>
    </w:rPr>
  </w:style>
  <w:style w:type="paragraph" w:customStyle="1" w:styleId="11">
    <w:name w:val="Підпис1"/>
    <w:basedOn w:val="a"/>
    <w:rsid w:val="00CD75A1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rsid w:val="00CD75A1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rsid w:val="00CD75A1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rsid w:val="00CD75A1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rsid w:val="00CD75A1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rsid w:val="00CD75A1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rsid w:val="00CD75A1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rsid w:val="00CD75A1"/>
    <w:pPr>
      <w:ind w:firstLine="567"/>
      <w:jc w:val="both"/>
    </w:pPr>
  </w:style>
  <w:style w:type="paragraph" w:customStyle="1" w:styleId="ShapkaDocumentu">
    <w:name w:val="Shapka Documentu"/>
    <w:basedOn w:val="NormalText"/>
    <w:rsid w:val="00CD75A1"/>
    <w:pPr>
      <w:keepNext/>
      <w:keepLines/>
      <w:spacing w:after="240"/>
      <w:ind w:left="3969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9729</Words>
  <Characters>5546</Characters>
  <Application>Microsoft Office Word</Application>
  <DocSecurity>0</DocSecurity>
  <Lines>46</Lines>
  <Paragraphs>30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dcterms:created xsi:type="dcterms:W3CDTF">2024-10-17T06:14:00Z</dcterms:created>
  <dcterms:modified xsi:type="dcterms:W3CDTF">2024-10-18T11:30:00Z</dcterms:modified>
</cp:coreProperties>
</file>