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7A7" w:rsidRPr="001317BA" w:rsidRDefault="002467A7" w:rsidP="002467A7">
      <w:pPr>
        <w:pStyle w:val="ShapkaDocumentu"/>
        <w:ind w:left="8789"/>
        <w:rPr>
          <w:rFonts w:ascii="Times New Roman" w:hAnsi="Times New Roman"/>
          <w:noProof/>
          <w:sz w:val="28"/>
          <w:szCs w:val="28"/>
          <w:lang w:val="en-US"/>
        </w:rPr>
      </w:pPr>
      <w:bookmarkStart w:id="0" w:name="_GoBack"/>
      <w:bookmarkEnd w:id="0"/>
      <w:r w:rsidRPr="001317BA">
        <w:rPr>
          <w:rFonts w:ascii="Times New Roman" w:hAnsi="Times New Roman"/>
          <w:noProof/>
          <w:sz w:val="28"/>
          <w:szCs w:val="28"/>
          <w:lang w:val="en-US"/>
        </w:rPr>
        <w:t>ЗАТВЕРДЖЕНО</w:t>
      </w:r>
      <w:r w:rsidRPr="001317BA">
        <w:rPr>
          <w:rFonts w:ascii="Times New Roman" w:hAnsi="Times New Roman"/>
          <w:noProof/>
          <w:sz w:val="28"/>
          <w:szCs w:val="28"/>
          <w:lang w:val="en-US"/>
        </w:rPr>
        <w:br/>
        <w:t>розпорядженням Кабінету Міністрів України</w:t>
      </w:r>
      <w:r w:rsidRPr="001317BA">
        <w:rPr>
          <w:rFonts w:ascii="Times New Roman" w:hAnsi="Times New Roman"/>
          <w:noProof/>
          <w:sz w:val="28"/>
          <w:szCs w:val="28"/>
          <w:lang w:val="en-US"/>
        </w:rPr>
        <w:br/>
        <w:t xml:space="preserve">від </w:t>
      </w:r>
      <w:r w:rsidR="00BA4227" w:rsidRPr="001317BA">
        <w:rPr>
          <w:rFonts w:ascii="Times New Roman" w:hAnsi="Times New Roman"/>
          <w:noProof/>
          <w:sz w:val="28"/>
          <w:szCs w:val="28"/>
          <w:lang w:val="en-US"/>
        </w:rPr>
        <w:t xml:space="preserve">23 грудня </w:t>
      </w:r>
      <w:r w:rsidRPr="001317BA">
        <w:rPr>
          <w:rFonts w:ascii="Times New Roman" w:hAnsi="Times New Roman"/>
          <w:noProof/>
          <w:sz w:val="28"/>
          <w:szCs w:val="28"/>
          <w:lang w:val="en-US"/>
        </w:rPr>
        <w:t>2022 р. №</w:t>
      </w:r>
      <w:r w:rsidR="00BA4227" w:rsidRPr="001317BA">
        <w:rPr>
          <w:rFonts w:ascii="Times New Roman" w:hAnsi="Times New Roman"/>
          <w:noProof/>
          <w:sz w:val="28"/>
          <w:szCs w:val="28"/>
          <w:lang w:val="en-US"/>
        </w:rPr>
        <w:t xml:space="preserve"> 1191-р</w:t>
      </w:r>
    </w:p>
    <w:p w:rsidR="002467A7" w:rsidRPr="00C344C5" w:rsidRDefault="002467A7" w:rsidP="002467A7">
      <w:pPr>
        <w:pStyle w:val="ae"/>
        <w:spacing w:before="0"/>
        <w:rPr>
          <w:rFonts w:ascii="Times New Roman" w:hAnsi="Times New Roman"/>
          <w:b w:val="0"/>
          <w:noProof/>
          <w:sz w:val="28"/>
          <w:szCs w:val="28"/>
          <w:lang w:val="ru-RU"/>
        </w:rPr>
      </w:pPr>
      <w:bookmarkStart w:id="1" w:name="_heading=h.gjdgxs"/>
      <w:bookmarkEnd w:id="1"/>
      <w:r w:rsidRPr="00C344C5">
        <w:rPr>
          <w:rFonts w:ascii="Times New Roman" w:hAnsi="Times New Roman"/>
          <w:b w:val="0"/>
          <w:noProof/>
          <w:sz w:val="28"/>
          <w:szCs w:val="28"/>
          <w:lang w:val="ru-RU"/>
        </w:rPr>
        <w:t xml:space="preserve">ПЛАН ЗАХОДІВ </w:t>
      </w:r>
      <w:r w:rsidRPr="00C344C5">
        <w:rPr>
          <w:rFonts w:ascii="Times New Roman" w:hAnsi="Times New Roman"/>
          <w:b w:val="0"/>
          <w:noProof/>
          <w:sz w:val="28"/>
          <w:szCs w:val="28"/>
          <w:lang w:val="ru-RU"/>
        </w:rPr>
        <w:br/>
        <w:t>на 2023 рік щодо переведення публічних послуг в електронну форму</w:t>
      </w:r>
    </w:p>
    <w:tbl>
      <w:tblPr>
        <w:tblW w:w="5307" w:type="pct"/>
        <w:tblInd w:w="-42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033"/>
        <w:gridCol w:w="4482"/>
        <w:gridCol w:w="3232"/>
        <w:gridCol w:w="3718"/>
      </w:tblGrid>
      <w:tr w:rsidR="002467A7" w:rsidRPr="001317BA" w:rsidTr="00067C3D">
        <w:trPr>
          <w:trHeight w:val="20"/>
          <w:tblHeader/>
        </w:trPr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67A7" w:rsidRPr="001317BA" w:rsidRDefault="002467A7" w:rsidP="00067C3D">
            <w:pPr>
              <w:spacing w:before="120"/>
              <w:ind w:left="85"/>
              <w:jc w:val="center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Найменування завдання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67A7" w:rsidRPr="001317BA" w:rsidRDefault="002467A7" w:rsidP="00067C3D">
            <w:pPr>
              <w:spacing w:before="120"/>
              <w:ind w:left="85"/>
              <w:jc w:val="center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Найменування заходу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67A7" w:rsidRPr="001317BA" w:rsidRDefault="002467A7" w:rsidP="00067C3D">
            <w:pPr>
              <w:spacing w:before="120"/>
              <w:ind w:left="85"/>
              <w:jc w:val="center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 xml:space="preserve">Відповідальні за 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виконання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467A7" w:rsidRPr="001317BA" w:rsidRDefault="002467A7" w:rsidP="00067C3D">
            <w:pPr>
              <w:spacing w:before="120"/>
              <w:ind w:left="85"/>
              <w:jc w:val="center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Індикатор виконання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1. Переведення публічних послуг у сфері державного експортного контролю в електронну форму</w:t>
            </w:r>
          </w:p>
        </w:tc>
        <w:tc>
          <w:tcPr>
            <w:tcW w:w="144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надання висновку на здійснення тимчасового ввезення/вивезення товарів в електронній формі</w:t>
            </w:r>
          </w:p>
        </w:tc>
        <w:tc>
          <w:tcPr>
            <w:tcW w:w="104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Держекспортконтроль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2. Переведення публічних послуг у сфері телебачення та радіомовлення, інформаційній та видавничій сфері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створення електронної бази даних Державного реєстру видавців, виготовлювачів і розповсюджувачів видавничої продукції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Держкомтелерадіо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програмне забезпечення розгорнуто на сервері Держкомтелерадіо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суб’єкта господарювання до Державного реєстру видавців, виготовлювачів і розповсюджувачів видавничої продукції та видача свідоцтва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Держкомтелерадіо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забезпечення можливості переоформлення свідоцтва про внесення суб’єкта господарювання до Державного реєстру видавців, виготовлювачів і розповсюджувачів видавничої продукції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дубліката свідоцтва про внесення суб’єкта господарювання до Державного реєстру видавців, виготовлювачів і розповсюджувачів видавничої продукції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3. Переведення публічних послуг у сфері соціального захисту ветеранів війни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розроблення та впровадження е-посвідчення ветерана в мобільному додатку Єдиного державного вебпорталу електронних послуг (далі </w:t>
            </w:r>
            <w:r w:rsidR="001317BA"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-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Портал Дія) (Дія)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Мінветеранів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е-посвідчення ветерана доступне в мобільному додатку Порталу Дія (Дія)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4. Переведення публічних послуг у сфері соціального захисту ветеранів війни, осіб, які мають особливі заслуги перед Батьківщиною,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надання статусу учасника бойових дій особам, які у складі добровольчих формувань брали участь в антитерористичній операції/операції Об’єднаних сил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Мінветеранів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 (часткова автоматизація процесів)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заявки на виплату одноразової грошової допомоги у разі загибелі (смерті) або інвалідності волонтера, її опрацювання та отримання результату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bookmarkStart w:id="2" w:name="_heading=h.30j0zll"/>
            <w:bookmarkEnd w:id="2"/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на призначення та виплати одноразової грошової допомоги у разі загибелі (смерті) або інвалідності учасників антитерористичної операції/операції Об’єднаних сил, їх опрацювання та отримання результату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на встановлення зв’язку інвалідності з пораненнями чи іншими ушкодженнями здоров’я, одержаними особами від вибухових речовин, боєприпасів і військового озброєння та отримання відповіді, їх опрацювання та отримання відповіді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розроблення та впровадження пільгового електронного квитка ветерана “Ве-Квиток”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5. Переведення публічних послуг у сфері зайнятості населення, економічного, соціального розвитку і торгівлі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на видачу свідоцтва про уповноваження на проведення повірки засобів вимірювальної техніки, що перебувають в експлуатації та застосовуються у сфері законодавчо регульованої метрології,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Мінекономіки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анулювання свідоцтва про уповноваження на проведення повірки засобів вимірювальної техніки, що перебувають в експлуатації та застосовуються у сфері законодавчо регульованої метрології,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повідомної реєстрації галузевих (міжгалузевих) і територіальних угод, колективних договорів в електронній формі</w:t>
            </w:r>
          </w:p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забезпечення можливості повідомної реєстрація змін (доповнень) до галузевих (міжгалузевих), територіальних угод, колективних договорів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6. Розроблення єдиної державної електронної системи дозвільних документів (перша черга)</w:t>
            </w:r>
          </w:p>
        </w:tc>
        <w:tc>
          <w:tcPr>
            <w:tcW w:w="1449" w:type="pct"/>
          </w:tcPr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господарської діяльності з посередництва у працевлаштуванні за кордоном,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роздрібної торгівлі алкогольними напоями,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роздрібної торгівлі тютюновими виробами,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ліцензування роздрібної торгівлі рідинами, що використовуються в 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електронних сигаретах,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оптової торгівлі алкогольними напоями,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оптової торгівлі тютюновими виробами,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оптової торгівлі рідинами, що використовуються в електронних сигаретах,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оптової торгівлі пальним за відсутності місць оптової торгівлі,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забезпечення можливості ліцензування зберігання пального (виключно для потреб власного споживання чи промислової переробки), які повинні міститися у ліцензійному реєстрі,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провадження туроператорської діяльності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провадження господарської діяльності з ветеринарної практики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ліцензування провадження господарської діяльності з культивування рослин, включених до таблиці 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I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переліку наркотичних засобів, психотропних речовин і прекурсорів, затвердженого постановою Кабінету Міністрів України від 6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 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травня 2000 р.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 xml:space="preserve">№ 770 (Офіційний вісник України, 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2000 р., № 19, ст. 789), розроблення, виробництво, виготовлення, зберігання, перевезення, придбання, реалізація (відпуск), ввезення на територію України, вивезення з території України, використання, знищення наркотичних засобів, психотропних речовин і прекурсорів, включених до зазначеного Переліку, в електронній формі</w:t>
            </w:r>
          </w:p>
          <w:p w:rsidR="002467A7" w:rsidRPr="00C344C5" w:rsidRDefault="002467A7" w:rsidP="00067C3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ліцензування провадження освітньої діяльності за рівнем дошкільної освіти Київською міською державною (військовою) адміністрацією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цифровізації процедури подання та розгляд скарг здобувачів ліцензій, ліцензіатів на дії (бездіяльність) органів ліцензування щодо порушення законодавства у сфері ліцензування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Мінекономіки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Мінцифри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ДПС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ДАРТ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ДРС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Держпродспоживслужба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Держлікслужба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Київська міська державна (військова) адміністрація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7. Переведення публічних послуг у сфері оцінки відповідності в електронну форму</w:t>
            </w:r>
          </w:p>
        </w:tc>
        <w:tc>
          <w:tcPr>
            <w:tcW w:w="1449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свідоцтва про призначення органу з визначення технічної прийнятності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розширення сфери призначення органу з визначення технічної прийнятності щодо категорій будівельної продукції, стосовно яких орган з визначення технічної прийнятності було призначено раніше,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анулювання свідоцтва про призначення органу з визначення технічної прийнятності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свідоцтва про призначення органу з оцінки відповідності для виконання як третьою стороною завдань у процесі оцінки та перевірки стабільності показників будівельної продукції в електронній формі</w:t>
            </w:r>
          </w:p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забезпечення можливості розширення сфери призначення органу з оцінки відповідності, стосовно якого орган з оцінки відповідності було призначено раніше,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скорочення сфери призначення органу з оцінки відповідності, стосовно якого орган з оцінки відповідності було призначено раніше,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призупинення дії свідоцтва про призначення органу з оцінки відповідності для виконання як третьою стороною завдань у процесі оцінки та перевірки стабільності показників будівельної продукції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анулювання свідоцтва про призначення органу з оцінки відповідності для виконання як третьою стороною завдань у процесі оцінки та перевірки стабільності 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показників будівельної продукції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lastRenderedPageBreak/>
              <w:t>Мінекономіки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 xml:space="preserve">Мінцифри 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1E174A" w:rsidRPr="001317BA" w:rsidTr="00067C3D">
        <w:trPr>
          <w:trHeight w:val="20"/>
        </w:trPr>
        <w:tc>
          <w:tcPr>
            <w:tcW w:w="1304" w:type="pct"/>
            <w:hideMark/>
          </w:tcPr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8. Переведення публічних послуг у сфері державної митної політики в електронну форму</w:t>
            </w:r>
          </w:p>
        </w:tc>
        <w:tc>
          <w:tcPr>
            <w:tcW w:w="1449" w:type="pct"/>
            <w:hideMark/>
          </w:tcPr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надання дозволу на відкриття та експлуатацію митного складу в електронній формі</w:t>
            </w:r>
          </w:p>
        </w:tc>
        <w:tc>
          <w:tcPr>
            <w:tcW w:w="1045" w:type="pct"/>
            <w:hideMark/>
          </w:tcPr>
          <w:p w:rsidR="001E174A" w:rsidRPr="001317BA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Держмитслужба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vMerge w:val="restart"/>
            <w:hideMark/>
          </w:tcPr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розроблено та прийнято відповідний нормативно-правовий акт</w:t>
            </w:r>
          </w:p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розроблено та впроваджено відповідний програмно-інформаційний комплекс</w:t>
            </w:r>
          </w:p>
        </w:tc>
      </w:tr>
      <w:tr w:rsidR="001E174A" w:rsidRPr="001317BA" w:rsidTr="00067C3D">
        <w:trPr>
          <w:trHeight w:val="20"/>
        </w:trPr>
        <w:tc>
          <w:tcPr>
            <w:tcW w:w="1304" w:type="pct"/>
          </w:tcPr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переоформлення дозволу на відкриття та експлуатацію митного складу в електронній формі</w:t>
            </w:r>
          </w:p>
        </w:tc>
        <w:tc>
          <w:tcPr>
            <w:tcW w:w="1045" w:type="pct"/>
          </w:tcPr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  <w:vMerge/>
          </w:tcPr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зупинення дії дозволу на відкриття та експлуатацію митного складу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анулювання дозволу на відкриття та експлуатацію митного складу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надання дозволу на відкриття та експлуатацію складу тимчасового зберігання в електронній формі</w:t>
            </w:r>
          </w:p>
          <w:p w:rsidR="001E174A" w:rsidRPr="00C344C5" w:rsidRDefault="001E174A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переоформлення дозволу на відкриття та експлуатацію складу тимчасового зберігання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зупинення дії дозволу на відкриття та експлуатацію складу тимчасового зберігання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анулювання дозволу на відкриття та експлуатацію складу тимчасового зберігання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митного оформлення визначених транспортних засобів з використанням засобів Порталу Дія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9. Переведення публічних послуг у сфері державної аграрної політики, тваринництва, рослинництва, виноробства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змін до відомостей, що містяться у Реєстрі заявок на сорти рослин,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Мінагрополітики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2467A7">
            <w:pPr>
              <w:spacing w:before="10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змін до відомостей, що містяться у Реєстрі патентів на сорти рослин,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організаційно-розпорядчого акта про рішення щодо визначення підприємства, установи, організації експертним закладом, уповноваженим на виконання окремих повноважень у сфері охорони прав на сорти рослин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включення фізичної особи </w:t>
            </w:r>
            <w:r w:rsidR="001317BA"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-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підприємця або юридичної особи до Реєстру суб’єктів насінництва та розсадництва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видачі копії рішення про включення фізичної особи </w:t>
            </w:r>
            <w:r w:rsidR="001317BA"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-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підприємця або юридичної особи до Реєстру суб’єктів насінництва та розсадництва або про відмову у включенні до цього реєстру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2467A7">
            <w:pPr>
              <w:spacing w:before="80" w:line="230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змін до відомостей, що містяться в Реєстрі суб’єктів насінництва та розсадництва,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2467A7">
            <w:pPr>
              <w:spacing w:before="80" w:line="230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державної реєстрація вітчизняного селекційного досягнення з внесенням відомостей до Державного реєстру селекційних досягнень у тваринництві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2467A7">
            <w:pPr>
              <w:spacing w:before="80" w:line="230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державної реєстрації імпортованих селекційних досягнень з внесенням відомостей до Державного реєстру селекційних досягнень у тваринництві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2467A7">
            <w:pPr>
              <w:spacing w:before="80" w:line="230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змін до Державного реєстру селекційних досягнень у тваринництві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2467A7">
            <w:pPr>
              <w:spacing w:before="80" w:line="230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державної реєстрації суб’єктів племінної справи у тваринництві з занесенням відомостей до Державного реєстру суб’єктів племінної справи у тваринництві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spacing w:before="80" w:line="230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line="228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змін до відомостей, що містяться у Реєстрі органів з оцінки відповідності,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10. Переведення публічних послуг з питань тимчасово окупованих територій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в електронній формі на отримання грошової допомоги особам, які позбавлені (були позбавлені) особистої свободи незаконними збройними формуваннями, окупаційною адміністрацією та/або органами влади Російської Федерації з політичних мотивів, а також у зв’язку з громадською, політичною або професійною діяльністю зазначених осіб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Мінреінтеграції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на отримання житлового приміщення з фондів житла для тимчасового проживання внутрішньо переміщених осіб в електронній формі</w:t>
            </w:r>
          </w:p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vMerge w:val="restart"/>
            <w:hideMark/>
          </w:tcPr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lastRenderedPageBreak/>
              <w:t xml:space="preserve">11. Переведення публічних послуг у сфері державної реєстрації актів цивільного стану, державної реєстрації речових прав на нерухоме майно та їх обтяжень, державної реєстрації юридичних осіб та фізичних осіб </w:t>
            </w:r>
            <w:r w:rsidR="001317BA"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t>-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t xml:space="preserve"> підприємців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державну реєстрацію шлюбу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Мін’юст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6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внесення змін до актових записів цивільного стану їх поновлення та анулювання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проведення державної реєстрації права власності на нерухоме майно на підставі судового рішення та державної реєстрації права власності на нерухоме майно за даними про право власності, що міститься в Реєстрі прав власності на нерухоме майно в електронній формі</w:t>
            </w:r>
          </w:p>
        </w:tc>
        <w:tc>
          <w:tcPr>
            <w:tcW w:w="1045" w:type="pct"/>
            <w:hideMark/>
          </w:tcPr>
          <w:p w:rsidR="002467A7" w:rsidRPr="00C344C5" w:rsidRDefault="002467A7" w:rsidP="00067C3D">
            <w:pPr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Мін’юст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Мінцифри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br/>
              <w:t>ДСА (за згодою)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проведення державної реєстрації обтяжень речових прав на нерухоме майно на підставі судового рішення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надання витягу з Єдиного державного реєстру юридичних осіб, фізичних осіб </w:t>
            </w:r>
            <w:r w:rsidR="001317BA"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-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підприємців та громадських формувань через Портал Дія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Мін’юст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bookmarkStart w:id="3" w:name="_heading=h.1fob9te"/>
            <w:bookmarkEnd w:id="3"/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12. Переведення публічних послуг у сфері охорони здоров’я в електронну форму</w:t>
            </w:r>
          </w:p>
        </w:tc>
        <w:tc>
          <w:tcPr>
            <w:tcW w:w="1449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видачі лікарського свідоцтва про смерть за формою 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№ 106/о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МОЗ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видачі медичної довідки за формою 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083/о в електронній формі</w:t>
            </w:r>
          </w:p>
        </w:tc>
        <w:tc>
          <w:tcPr>
            <w:tcW w:w="1045" w:type="pct"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202" w:type="pct"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13. Переведення публічних послуг у сфері управління об’єктами державної власності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суб’єктам господарювання сертифікатів суб’єктів оціночної діяльності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Фонд державного майна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створено умови щодо підключення сервісу видачі сертифікатів суб’єктів оціночної діяльності та його інтеграції до Порталу Дія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1317BA" w:rsidRDefault="002467A7" w:rsidP="00067C3D">
            <w:pPr>
              <w:rPr>
                <w:rFonts w:ascii="Times New Roman" w:hAnsi="Times New Roman"/>
                <w:noProof/>
                <w:sz w:val="20"/>
                <w:lang w:val="en-US" w:eastAsia="uk-UA"/>
              </w:rPr>
            </w:pPr>
          </w:p>
        </w:tc>
        <w:tc>
          <w:tcPr>
            <w:tcW w:w="1449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забезпечення можливості надання інформації (відомостей або витягу) з Єдиного реєстру об’єктів державної власності в електронній формі</w:t>
            </w:r>
          </w:p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Фонд державного майна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14. Переведення публічних послуг у сфері страхового фонду документації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дозволів на виготовлення документів страхового фонду, виробництво технічних засобів оброблення інформації і технологічного оснащення, що має відповідати вимогам технічного захисту інформації з обмеженим доступом,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Укрдержархів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15. Переведення публічних послуг у сфері державного земельного кадастру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надання публічних послуг щодо внесення відомостей (змін до них) до Державного земельного кадастру, надання таких відомостей шляхом доопрацювання програмного забезпечення Державного земельного кадастру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Держгеокадастр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доопрацьовано програмне забезпечення Державного земельного кадастру та забезпечено можливість подання заяв про внесення відомостей до Державного земельного кадастру, змін до таких відомостей, надання таких відомостей в електронній формі засобами електронної комунікаційної системи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vMerge w:val="restar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16. Переведення публічних послуг у сфері промислової безпеки, охорони праці, гігієни праці, поводження з вибуховими матеріалами промислового призначення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зняття з обліку великотоннажних та інших технологічних транспортних засобів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Держпраці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vMerge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перереєстрацію великотоннажних та інших технологічних транспортних засобів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тимчасову реєстрацію великотоннажних та інших технологічних транспортних засобів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i/>
                <w:noProof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реєстрацію великотоннажних та інших технологічних транспортних засобів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jc w:val="both"/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видачі дозволу на виконання робіт підвищеної небезпеки та на експлуатацію 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(застосування) машин, механізмів, устатк</w:t>
            </w:r>
            <w:r w:rsidRPr="001317BA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у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 xml:space="preserve">вання 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lastRenderedPageBreak/>
              <w:t>підвищеної небезпеки в електронній формі</w:t>
            </w:r>
          </w:p>
        </w:tc>
        <w:tc>
          <w:tcPr>
            <w:tcW w:w="1045" w:type="pct"/>
          </w:tcPr>
          <w:p w:rsidR="002467A7" w:rsidRPr="001317BA" w:rsidRDefault="002467A7" w:rsidP="00067C3D">
            <w:pPr>
              <w:spacing w:before="120"/>
              <w:ind w:left="85"/>
              <w:jc w:val="both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1202" w:type="pct"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1317BA" w:rsidRDefault="002467A7" w:rsidP="00067C3D">
            <w:pPr>
              <w:rPr>
                <w:rFonts w:ascii="Times New Roman" w:hAnsi="Times New Roman"/>
                <w:noProof/>
                <w:sz w:val="20"/>
                <w:lang w:val="en-US" w:eastAsia="uk-UA"/>
              </w:rPr>
            </w:pPr>
          </w:p>
        </w:tc>
        <w:tc>
          <w:tcPr>
            <w:tcW w:w="1449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забезпечення можливості анулювання дозволу на виконання робіт підвищеної небезпеки та на експлуатацію (застосування) машин, механізмів, устатк</w:t>
            </w:r>
            <w:r w:rsidRPr="001317BA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у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вання підвищеної небезпеки в електронній формі</w:t>
            </w:r>
          </w:p>
        </w:tc>
        <w:tc>
          <w:tcPr>
            <w:tcW w:w="1045" w:type="pct"/>
          </w:tcPr>
          <w:p w:rsidR="002467A7" w:rsidRPr="001317BA" w:rsidRDefault="002467A7" w:rsidP="00067C3D">
            <w:pPr>
              <w:spacing w:before="120"/>
              <w:ind w:left="85"/>
              <w:jc w:val="both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1202" w:type="pct"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1317BA" w:rsidRDefault="002467A7" w:rsidP="00067C3D">
            <w:pPr>
              <w:rPr>
                <w:rFonts w:ascii="Times New Roman" w:hAnsi="Times New Roman"/>
                <w:noProof/>
                <w:sz w:val="20"/>
                <w:lang w:val="en-US" w:eastAsia="uk-UA"/>
              </w:rPr>
            </w:pPr>
          </w:p>
        </w:tc>
        <w:tc>
          <w:tcPr>
            <w:tcW w:w="1449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забезпечення можливості продовження строку дії дозволу на виконання робіт підвищеної небезпеки та на експлуатацію машин, механізмів, устаткування підвищеної небезпеки в електронній формі</w:t>
            </w:r>
          </w:p>
        </w:tc>
        <w:tc>
          <w:tcPr>
            <w:tcW w:w="1045" w:type="pct"/>
          </w:tcPr>
          <w:p w:rsidR="002467A7" w:rsidRPr="001317BA" w:rsidRDefault="002467A7" w:rsidP="00067C3D">
            <w:pPr>
              <w:spacing w:before="120"/>
              <w:ind w:left="85"/>
              <w:jc w:val="both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1202" w:type="pct"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1317BA" w:rsidRDefault="002467A7" w:rsidP="00067C3D">
            <w:pPr>
              <w:rPr>
                <w:rFonts w:ascii="Times New Roman" w:hAnsi="Times New Roman"/>
                <w:noProof/>
                <w:sz w:val="20"/>
                <w:lang w:val="en-US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видачу свідоцтва на придбання вибухових матеріалів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jc w:val="both"/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видачу свідоцтва на зберігання (експлуатацію місць зберігання) вибухових матеріалів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jc w:val="both"/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17. Переведення публічних послуг у галузі рибного господарства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дозволу на спеціальне використання водних біоресурсів у рибогосподарських водних об’єктах (їх частинах)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Держрибагентство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анулювання дозволу на спеціальне використання водних біоресурсів у рибогосподарських водних об’єктах (їх частинах)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18. Переведення публічних послуг у сфері туризму та курортів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встановлення категорій об’єктів туристичної інфраструктури (готелі, інші об’єкти, призначені для надання послуг з розміщення, заклади харчування, курортні заклади тощо)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ДАРТ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19. Переведення публічних послуг у сфері забезпечення безпеки дорожнього руху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подання заяви про реєстрацію, перереєстрацію колісних транспортних засобів (якщо вони підлягають огляду фахівцями експертної служби МВС) з видачею свідоцтва про реєстрацію та 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номерних знаків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lastRenderedPageBreak/>
              <w:t>МВС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зняття з обліку транспортного засобу з видачею облікової картки та номерних знаків для разових поїздок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видачу свідоцтва про реєстрацію колісних транспортних засобів для виїзду за кордон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подання заяви про видачу тимчасового реєстраційного талона на право керування транспортним засобом в електронній формі 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видачу висновку щодо можливості дублювання ідентифікаційних номерів транспортних засобів в електронній формі</w:t>
            </w:r>
          </w:p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видачу висновку щодо можливості нанесення спеціальних індивідуальних ідентифікаційних номерів транспортних засобів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відповідальне зберігання номерних знаків перереєстрованих або знятих з обліку транспортних засобів для подальшого закріплення за іншими транспортними засобами цього ж власника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видачу посвідчення водія на право керування транспортними засобами (із складанням іспитів)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C344C5" w:rsidRPr="001317BA" w:rsidTr="00C344C5">
        <w:trPr>
          <w:trHeight w:val="20"/>
        </w:trPr>
        <w:tc>
          <w:tcPr>
            <w:tcW w:w="5000" w:type="pct"/>
            <w:gridSpan w:val="4"/>
            <w:hideMark/>
          </w:tcPr>
          <w:p w:rsidR="00C344C5" w:rsidRDefault="00C344C5" w:rsidP="00C344C5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C344C5" w:rsidRPr="00C344C5" w:rsidRDefault="00C344C5" w:rsidP="00C344C5">
            <w:pPr>
              <w:rPr>
                <w:rFonts w:ascii="Times New Roman" w:hAnsi="Times New Roman"/>
                <w:sz w:val="24"/>
                <w:lang w:val="ru-RU"/>
              </w:rPr>
            </w:pPr>
            <w:r w:rsidRPr="00C344C5">
              <w:rPr>
                <w:rStyle w:val="st46"/>
                <w:rFonts w:ascii="Times New Roman" w:hAnsi="Times New Roman"/>
                <w:color w:val="auto"/>
                <w:sz w:val="24"/>
              </w:rPr>
              <w:t>{П</w:t>
            </w:r>
            <w:r>
              <w:rPr>
                <w:rStyle w:val="st46"/>
                <w:rFonts w:ascii="Times New Roman" w:hAnsi="Times New Roman"/>
                <w:color w:val="auto"/>
                <w:sz w:val="24"/>
              </w:rPr>
              <w:t>ункт 20 виключено на підставі По</w:t>
            </w:r>
            <w:r w:rsidRPr="00C344C5">
              <w:rPr>
                <w:rStyle w:val="st46"/>
                <w:rFonts w:ascii="Times New Roman" w:hAnsi="Times New Roman"/>
                <w:color w:val="auto"/>
                <w:sz w:val="24"/>
              </w:rPr>
              <w:t>станов</w:t>
            </w:r>
            <w:r>
              <w:rPr>
                <w:rStyle w:val="st46"/>
                <w:rFonts w:ascii="Times New Roman" w:hAnsi="Times New Roman"/>
                <w:color w:val="auto"/>
                <w:sz w:val="24"/>
              </w:rPr>
              <w:t>и</w:t>
            </w:r>
            <w:r w:rsidRPr="00C344C5">
              <w:rPr>
                <w:rStyle w:val="st46"/>
                <w:rFonts w:ascii="Times New Roman" w:hAnsi="Times New Roman"/>
                <w:color w:val="auto"/>
                <w:sz w:val="24"/>
              </w:rPr>
              <w:t xml:space="preserve"> КМ </w:t>
            </w:r>
            <w:r w:rsidRPr="00C344C5">
              <w:rPr>
                <w:rStyle w:val="st131"/>
                <w:rFonts w:ascii="Times New Roman" w:hAnsi="Times New Roman"/>
                <w:color w:val="auto"/>
                <w:sz w:val="24"/>
              </w:rPr>
              <w:t>№ 1275 від 05.12.2023</w:t>
            </w:r>
            <w:r w:rsidRPr="00C344C5">
              <w:rPr>
                <w:rStyle w:val="st46"/>
                <w:rFonts w:ascii="Times New Roman" w:hAnsi="Times New Roman"/>
                <w:color w:val="auto"/>
                <w:sz w:val="24"/>
              </w:rPr>
              <w:t>}</w:t>
            </w:r>
          </w:p>
          <w:p w:rsidR="00C344C5" w:rsidRPr="00C344C5" w:rsidRDefault="00C344C5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C344C5" w:rsidRPr="001317BA" w:rsidTr="00C344C5">
        <w:trPr>
          <w:trHeight w:val="20"/>
        </w:trPr>
        <w:tc>
          <w:tcPr>
            <w:tcW w:w="5000" w:type="pct"/>
            <w:gridSpan w:val="4"/>
            <w:hideMark/>
          </w:tcPr>
          <w:p w:rsidR="00C344C5" w:rsidRPr="00C344C5" w:rsidRDefault="00C344C5" w:rsidP="00C344C5">
            <w:pPr>
              <w:rPr>
                <w:rFonts w:ascii="Times New Roman" w:hAnsi="Times New Roman"/>
                <w:sz w:val="24"/>
                <w:lang w:val="ru-RU"/>
              </w:rPr>
            </w:pPr>
            <w:r w:rsidRPr="00C344C5">
              <w:rPr>
                <w:rStyle w:val="st46"/>
                <w:rFonts w:ascii="Times New Roman" w:hAnsi="Times New Roman"/>
                <w:color w:val="auto"/>
                <w:sz w:val="24"/>
              </w:rPr>
              <w:t>{П</w:t>
            </w:r>
            <w:r>
              <w:rPr>
                <w:rStyle w:val="st46"/>
                <w:rFonts w:ascii="Times New Roman" w:hAnsi="Times New Roman"/>
                <w:color w:val="auto"/>
                <w:sz w:val="24"/>
              </w:rPr>
              <w:t>ункт 21</w:t>
            </w:r>
            <w:r>
              <w:rPr>
                <w:rStyle w:val="st46"/>
                <w:rFonts w:ascii="Times New Roman" w:hAnsi="Times New Roman"/>
                <w:color w:val="auto"/>
                <w:sz w:val="24"/>
              </w:rPr>
              <w:t xml:space="preserve"> виключено на підставі По</w:t>
            </w:r>
            <w:r w:rsidRPr="00C344C5">
              <w:rPr>
                <w:rStyle w:val="st46"/>
                <w:rFonts w:ascii="Times New Roman" w:hAnsi="Times New Roman"/>
                <w:color w:val="auto"/>
                <w:sz w:val="24"/>
              </w:rPr>
              <w:t>станов</w:t>
            </w:r>
            <w:r>
              <w:rPr>
                <w:rStyle w:val="st46"/>
                <w:rFonts w:ascii="Times New Roman" w:hAnsi="Times New Roman"/>
                <w:color w:val="auto"/>
                <w:sz w:val="24"/>
              </w:rPr>
              <w:t>и</w:t>
            </w:r>
            <w:r w:rsidRPr="00C344C5">
              <w:rPr>
                <w:rStyle w:val="st46"/>
                <w:rFonts w:ascii="Times New Roman" w:hAnsi="Times New Roman"/>
                <w:color w:val="auto"/>
                <w:sz w:val="24"/>
              </w:rPr>
              <w:t xml:space="preserve"> КМ </w:t>
            </w:r>
            <w:r w:rsidRPr="00C344C5">
              <w:rPr>
                <w:rStyle w:val="st131"/>
                <w:rFonts w:ascii="Times New Roman" w:hAnsi="Times New Roman"/>
                <w:color w:val="auto"/>
                <w:sz w:val="24"/>
              </w:rPr>
              <w:t>№ 1275 від 05.12.2023</w:t>
            </w:r>
            <w:r w:rsidRPr="00C344C5">
              <w:rPr>
                <w:rStyle w:val="st46"/>
                <w:rFonts w:ascii="Times New Roman" w:hAnsi="Times New Roman"/>
                <w:color w:val="auto"/>
                <w:sz w:val="24"/>
              </w:rPr>
              <w:t>}</w:t>
            </w:r>
          </w:p>
          <w:p w:rsidR="00C344C5" w:rsidRDefault="00C344C5" w:rsidP="00C344C5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C344C5" w:rsidRPr="00C344C5" w:rsidRDefault="00C344C5" w:rsidP="00C344C5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22. Переведення публічних послуг у сфері охорони навколишнього природного середовища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дозволу на викиди забруднюючих речовин в атмосферне повітря стаціонарними джерелами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Міндовкілля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дозволу на ввезення та застосування незареєстрованих пестицидів і агрохімікатів для державних випробувань та наукових досліджень, а також обробленого ними насіннєвого (посадкового) матеріалу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проведення державної реєстрації (перереєстрації) пестицидів і агрохімікатів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державної реєстрації установки в Єдиному реєстрі з моніторингу, звітності та верифікації викидів парникових газів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прийняття звіту оператора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затвердження плану моніторингу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AA5096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</w:t>
            </w:r>
            <w:r w:rsidR="002467A7"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внесення відомостей до Єдиного державного реєстру операторів контрольованих речовин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змін до відомостей, що містяться в Єдиному державному реєстрі операторів контрольованих речовин,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виключення відомостей з Єдиного державного реєстру операторів контрольованих речовин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затвердження ліміту на використання природних ресурсів у межах територій та об’єктів природно-заповідного фонду загальнодержавного значення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23. Переведення публічних послуг у сфері культури, мистецтв, охорони культурної спадщини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погодження науково-проектної документації на виконання робіт із консервації, реставрації, реабілітації, музеєфікації, ремонту та пристосування пам’яток національного значення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МКІП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24. Переведення публічних послуг, пов’язаних з оформленням державної допомоги,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державної допомоги на дітей, над якими встановлено опіку чи піклування,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Мінсоцполітики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державної допомоги на дітей одиноким матерям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державної допомоги при усиновленні дитини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державної допомоги одному з батьків, усиновлювачам, опікунам, піклувальникам, одному з прийомних батьків, батькам-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вихователям, які доглядають за хворою дитиною, якій не встановлено інвалідність,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line="228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державної соціальної допомоги особам з інвалідністю з дитинства та дітям з інвалідністю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line="228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надбавки на догляд за особами з інвалідністю з дитинства та дітьми з інвалідністю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line="228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державної соціальної допомоги малозабезпеченим сім’ям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vMerge w:val="restar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25. Переведення публічних послуг у сфері пенсійного забезпечення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оформлення виплати допомоги на поховання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Пенсійний фонд України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2467A7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оформлення виплати недоотриманої пенсії у зв’язку із смертю пенсіонера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0" w:type="auto"/>
            <w:vAlign w:val="center"/>
          </w:tcPr>
          <w:p w:rsidR="002467A7" w:rsidRPr="00C344C5" w:rsidRDefault="002467A7" w:rsidP="002467A7">
            <w:pPr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</w:tcPr>
          <w:p w:rsidR="002467A7" w:rsidRPr="00C344C5" w:rsidRDefault="002467A7" w:rsidP="002467A7">
            <w:pPr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2467A7">
            <w:pPr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2467A7">
            <w:pPr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line="228" w:lineRule="auto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оформлення виплати пенсії за шість місяців наперед у зв’язку з виїздом на постійне місце проживання за кордон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пенсії в разі втрати годувальника (крім військовослужбовців строкової служби)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пенсії за вислугу років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пенсії за віком на пільгових умовах окремим категоріям працівників залежно від умов праці за результатами атестації робочих місць за рахунок коштів підприємств та організацій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призначення пенсії по інвалідності (крім військовослужбовців строкової служби) в електронній формі</w:t>
            </w:r>
          </w:p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реєстрації користувачів електронних послуг на веб-порталі електронних послуг Пенсійного фонду України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оформлення виплати одноразової грошової допомоги, передбаченої пунктом 12 постанови Кабінету Міністрів України від 17 липня 1992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 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р. №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 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393 “Про порядок обчислення вислуги років, призначення та виплати пенсій і грошової допомоги особам, які мають право на пенсію відповідно до Закону України “Про пенсійне забезпечення осіб, звільнених з військової служби, та деяких інших осіб”, крім військовослужбовців строкової служби і членів їх сімей та прирівняних до них осіб” (ЗП України, 1992 р., № 7, ст. 182; Офіційний вісник України, 2022 р., № 18, ст. 969)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26. Переведення публічних послуг у сфері цивільної авіації та використання повітряного простору України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оформлення (у тому числі замість втраченого або викраденого) та обміну посвідчення члена екіпажу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Державіаслужба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ліцензії на право провадження господарської діяльності з перевезення пасажирів, небезпечних вантажів та небезпечних відходів повітряним транспортом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розширення провадження виду господарської діяльності з перевезення пасажирів, небезпечних вантажів та небезпечних відходів повітряним транспортом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bookmarkStart w:id="4" w:name="_heading=h.3znysh7"/>
            <w:bookmarkEnd w:id="4"/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звуження провадження виду господарської діяльності з перевезення пасажирів, небезпечних вантажів та небезпечних відходів повітряним транспортом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подання заяви про анулювання ліцензії на право провадження господарської діяльності з перевезення пасажирів, небезпечних вантажів та небезпечних відходів повітряним транспортом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надання державного та реєстраційного знаків повітряному судну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tabs>
                <w:tab w:val="left" w:pos="1320"/>
              </w:tabs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реєстрації повітряного судна в Державному реєстрі цивільних повітряних суден України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надання адреси повітряного судна, яке зареєстроване в Державному реєстрі цивільних повітряних суден України,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AA5096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перереєстрації</w:t>
            </w:r>
            <w:r w:rsidR="00AA5096"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повітряного судна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в Державному реєстрі цивільних повітряних суден України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виключення повітряного судна в Державному реєстрі цивільних повітряних суден України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тимчасового обліку повітряного судна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6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6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надання авторизованого коду (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AEP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 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Code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)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6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6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60" w:line="228" w:lineRule="auto"/>
              <w:ind w:left="85"/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6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погодження Безвідкличного повноваження на подання запиту для здійснення дереєстрації та експорту повітряного судна (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IDERA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)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6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6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27. Переведення публічних послуг у сфері ліцензування підакцизних товарів та податкових послуг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ліцензій на право оптової торгівлі алкогольними напоями, крім сидру та перрі (без додання спирту), тютюновими виробами, рідинами, що використовуються в електронних сигаретах, пальним (за відсутності місць оптової торгівлі пальним) в електронній формі</w:t>
            </w:r>
          </w:p>
          <w:p w:rsidR="002467A7" w:rsidRPr="00C344C5" w:rsidRDefault="002467A7" w:rsidP="00067C3D">
            <w:pPr>
              <w:spacing w:before="6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забезпечення можливості видачі ліцензій на право роздрібної торгівлі алкогольними напоями, тютюновими виробами, рідинами, що використовуються в електронних сигаретах, зберігання пального (виключно для потреб власного споживання чи промислової переробки)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lastRenderedPageBreak/>
              <w:t>ДПС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3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ліцензії на право оптової торгівлі спиртом, сидром та перрі (без додання спирту)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ліцензії виробникам пива з обсягом виробництва до 3000 гектолітрів на рік на право оптової торгівлі виключно пивом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ліцензії на право роздрібної торгівлі сидром та перрі (без додання спирту) в електронній формі</w:t>
            </w: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переоформлення, анулювання ліцензій, видачі дублікатів ліцензій на право оптової торгівлі спиртом, алкогольними напоями, тютюновими виробами, рідинами, що використовуються в електронних сигаретах, пальним (за відсутності місць оптової торгівлі пальним) в електронній формі</w:t>
            </w:r>
          </w:p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переоформлення, анулювання ліцензій, видачі дублікатів ліцензій на право роздрібної торгівлі алкогольними напоями, тютюновими виробами, рідинами, що використовуються в електронних сигаретах, зберігання пального (виключно для потреб власного споживання чи промислової переробки)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видачі довідки про подану декларацію про майновий стан і доходи (про сплату 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або відсутність податкових зобов’язань)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 w:line="232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довідки про доходи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28. Переведення публічних послуг у сфері освіти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свідоцтва про здобуття базової середньої освіти, свідоцтва про здобуття повної загальної середньої освіти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МОН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нормативно врегульовано процедуру виготовлення, видачі та обліку документів про базову і повну загальну середню освіту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приєднання сторонніх електронних освітніх інформаційних систем до центральної бази даних програмно-апаратного комплексу “АІКОМ”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МОН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затверджено порядок доступу до інформації в програмно-апаратному комплексі “АІКОМ”, примірний договір про приєднання до центральної бази даних програмно-апаратного комплексу “АІКОМ” та технічні вимоги до сторонніх електронних освітніх інформаційних систем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rPr>
                <w:rFonts w:ascii="Times New Roman" w:hAnsi="Times New Roman"/>
                <w:noProof/>
                <w:sz w:val="20"/>
                <w:lang w:val="ru-RU" w:eastAsia="uk-UA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забезпечення можливості запровадження електронного документообігу у закладах загальної 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середньої освіти на базі програмно-апаратного комплексу “АІКОМ”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lastRenderedPageBreak/>
              <w:t>МОН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 xml:space="preserve">затверджено інструкцію з ведення ділової документації у закладах загальної </w:t>
            </w: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середньої освіти в електронній формі</w:t>
            </w:r>
          </w:p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lastRenderedPageBreak/>
              <w:t>29. Переведення публічних послуг у сфері використання ядерної енергії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видачі документів дозвільного характеру на провадження діяльності у сфері використання ядерної енергії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Держатомрегулювання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 xml:space="preserve">Мінцифри 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30. Переведення публічних послуг у сфері безпечності та окремих показників якості харчових продуктів в електронну форму</w:t>
            </w: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відомостей про припинення використання потужності до Реєстру операторів ринку та потужностей в електронній формі</w:t>
            </w:r>
          </w:p>
        </w:tc>
        <w:tc>
          <w:tcPr>
            <w:tcW w:w="1045" w:type="pct"/>
            <w:hideMark/>
          </w:tcPr>
          <w:p w:rsidR="002467A7" w:rsidRPr="001317BA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</w:pP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t>Держпродспоживслужба</w:t>
            </w:r>
            <w:r w:rsidRPr="001317BA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US"/>
              </w:rPr>
              <w:br/>
              <w:t>Мінцифри</w:t>
            </w:r>
          </w:p>
        </w:tc>
        <w:tc>
          <w:tcPr>
            <w:tcW w:w="1202" w:type="pct"/>
            <w:hideMark/>
          </w:tcPr>
          <w:p w:rsidR="002467A7" w:rsidRPr="00C344C5" w:rsidRDefault="002467A7" w:rsidP="00067C3D">
            <w:pPr>
              <w:spacing w:before="120" w:line="228" w:lineRule="auto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надання публічних послуг здійснюється в електронній формі</w:t>
            </w: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внесення змін до відомостей Реєстру операторів ринку та потужностей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  <w:tr w:rsidR="002467A7" w:rsidRPr="001317BA" w:rsidTr="00067C3D">
        <w:trPr>
          <w:trHeight w:val="20"/>
        </w:trPr>
        <w:tc>
          <w:tcPr>
            <w:tcW w:w="1304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449" w:type="pct"/>
            <w:hideMark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  <w:r w:rsidRPr="00C344C5"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  <w:t>забезпечення можливості державної реєстрації потужностей оператора ринку в електронній формі</w:t>
            </w:r>
          </w:p>
        </w:tc>
        <w:tc>
          <w:tcPr>
            <w:tcW w:w="1045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02" w:type="pct"/>
          </w:tcPr>
          <w:p w:rsidR="002467A7" w:rsidRPr="00C344C5" w:rsidRDefault="002467A7" w:rsidP="00067C3D">
            <w:pPr>
              <w:spacing w:before="120"/>
              <w:ind w:left="85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2467A7" w:rsidRPr="00C344C5" w:rsidRDefault="002467A7" w:rsidP="00464F6D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noProof/>
          <w:sz w:val="28"/>
          <w:szCs w:val="28"/>
          <w:lang w:val="ru-RU"/>
        </w:rPr>
      </w:pPr>
    </w:p>
    <w:p w:rsidR="00C344C5" w:rsidRPr="00C344C5" w:rsidRDefault="00C344C5" w:rsidP="00C344C5">
      <w:pPr>
        <w:rPr>
          <w:lang w:val="ru-RU"/>
        </w:rPr>
      </w:pPr>
    </w:p>
    <w:p w:rsidR="00C344C5" w:rsidRPr="00C344C5" w:rsidRDefault="00C344C5" w:rsidP="00C344C5">
      <w:pPr>
        <w:rPr>
          <w:lang w:val="ru-RU"/>
        </w:rPr>
      </w:pPr>
    </w:p>
    <w:p w:rsidR="00C344C5" w:rsidRDefault="00C344C5" w:rsidP="00C344C5">
      <w:pPr>
        <w:rPr>
          <w:lang w:val="ru-RU"/>
        </w:rPr>
      </w:pPr>
    </w:p>
    <w:p w:rsidR="00C344C5" w:rsidRPr="00C344C5" w:rsidRDefault="00C344C5" w:rsidP="00C344C5">
      <w:pPr>
        <w:rPr>
          <w:rFonts w:ascii="Times New Roman" w:hAnsi="Times New Roman"/>
          <w:sz w:val="24"/>
          <w:lang w:val="ru-RU"/>
        </w:rPr>
      </w:pPr>
      <w:r w:rsidRPr="00C344C5">
        <w:rPr>
          <w:rStyle w:val="st46"/>
          <w:rFonts w:ascii="Times New Roman" w:hAnsi="Times New Roman"/>
          <w:color w:val="auto"/>
          <w:sz w:val="24"/>
        </w:rPr>
        <w:t xml:space="preserve">{План заходів із змінами, внесеними згідно з Постановою КМ </w:t>
      </w:r>
      <w:r w:rsidRPr="00C344C5">
        <w:rPr>
          <w:rStyle w:val="st131"/>
          <w:rFonts w:ascii="Times New Roman" w:hAnsi="Times New Roman"/>
          <w:color w:val="auto"/>
          <w:sz w:val="24"/>
        </w:rPr>
        <w:t>№ 1275 від 05.12.2023</w:t>
      </w:r>
      <w:r w:rsidRPr="00C344C5">
        <w:rPr>
          <w:rStyle w:val="st46"/>
          <w:rFonts w:ascii="Times New Roman" w:hAnsi="Times New Roman"/>
          <w:color w:val="auto"/>
          <w:sz w:val="24"/>
        </w:rPr>
        <w:t>}</w:t>
      </w:r>
    </w:p>
    <w:sectPr w:rsidR="00C344C5" w:rsidRPr="00C344C5" w:rsidSect="001E6671">
      <w:headerReference w:type="even" r:id="rId7"/>
      <w:headerReference w:type="default" r:id="rId8"/>
      <w:pgSz w:w="16838" w:h="11906" w:orient="landscape" w:code="9"/>
      <w:pgMar w:top="1134" w:right="1134" w:bottom="1134" w:left="1134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254D" w:rsidRDefault="000C254D">
      <w:r>
        <w:separator/>
      </w:r>
    </w:p>
  </w:endnote>
  <w:endnote w:type="continuationSeparator" w:id="0">
    <w:p w:rsidR="000C254D" w:rsidRDefault="000C2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254D" w:rsidRDefault="000C254D">
      <w:r>
        <w:separator/>
      </w:r>
    </w:p>
  </w:footnote>
  <w:footnote w:type="continuationSeparator" w:id="0">
    <w:p w:rsidR="000C254D" w:rsidRDefault="000C25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5A1426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5A1426">
      <w:rPr>
        <w:rFonts w:ascii="Times New Roman" w:hAnsi="Times New Roman"/>
        <w:sz w:val="28"/>
        <w:szCs w:val="28"/>
      </w:rPr>
      <w:fldChar w:fldCharType="begin"/>
    </w:r>
    <w:r w:rsidRPr="005A1426">
      <w:rPr>
        <w:rFonts w:ascii="Times New Roman" w:hAnsi="Times New Roman"/>
        <w:sz w:val="28"/>
        <w:szCs w:val="28"/>
      </w:rPr>
      <w:instrText xml:space="preserve">PAGE  </w:instrText>
    </w:r>
    <w:r w:rsidRPr="005A1426">
      <w:rPr>
        <w:rFonts w:ascii="Times New Roman" w:hAnsi="Times New Roman"/>
        <w:sz w:val="28"/>
        <w:szCs w:val="28"/>
      </w:rPr>
      <w:fldChar w:fldCharType="separate"/>
    </w:r>
    <w:r w:rsidR="00C344C5">
      <w:rPr>
        <w:rFonts w:ascii="Times New Roman" w:hAnsi="Times New Roman"/>
        <w:noProof/>
        <w:sz w:val="28"/>
        <w:szCs w:val="28"/>
      </w:rPr>
      <w:t>2</w:t>
    </w:r>
    <w:r w:rsidRPr="005A1426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E7ED2"/>
    <w:multiLevelType w:val="hybridMultilevel"/>
    <w:tmpl w:val="3B34A74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F54B5F"/>
    <w:multiLevelType w:val="multilevel"/>
    <w:tmpl w:val="66D43D4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6D34D0A"/>
    <w:multiLevelType w:val="hybridMultilevel"/>
    <w:tmpl w:val="35DEF098"/>
    <w:lvl w:ilvl="0" w:tplc="0422000F">
      <w:start w:val="1"/>
      <w:numFmt w:val="decimal"/>
      <w:lvlText w:val="%1."/>
      <w:lvlJc w:val="left"/>
      <w:pPr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16451"/>
    <w:rsid w:val="00034EED"/>
    <w:rsid w:val="0003538E"/>
    <w:rsid w:val="000448B3"/>
    <w:rsid w:val="00053DE7"/>
    <w:rsid w:val="00067C3D"/>
    <w:rsid w:val="000A54C8"/>
    <w:rsid w:val="000C254D"/>
    <w:rsid w:val="001317BA"/>
    <w:rsid w:val="0016713A"/>
    <w:rsid w:val="001749FA"/>
    <w:rsid w:val="001A4012"/>
    <w:rsid w:val="001A5FC5"/>
    <w:rsid w:val="001E174A"/>
    <w:rsid w:val="001E6671"/>
    <w:rsid w:val="00210074"/>
    <w:rsid w:val="00210F96"/>
    <w:rsid w:val="00212658"/>
    <w:rsid w:val="002467A7"/>
    <w:rsid w:val="00255032"/>
    <w:rsid w:val="0025662B"/>
    <w:rsid w:val="00293A5A"/>
    <w:rsid w:val="00296FE2"/>
    <w:rsid w:val="002A2A85"/>
    <w:rsid w:val="002C6E53"/>
    <w:rsid w:val="002D4071"/>
    <w:rsid w:val="002E744B"/>
    <w:rsid w:val="00320315"/>
    <w:rsid w:val="0032364E"/>
    <w:rsid w:val="00334796"/>
    <w:rsid w:val="00335BDB"/>
    <w:rsid w:val="00336EDD"/>
    <w:rsid w:val="0034326D"/>
    <w:rsid w:val="0034410D"/>
    <w:rsid w:val="00354414"/>
    <w:rsid w:val="003717BF"/>
    <w:rsid w:val="00376552"/>
    <w:rsid w:val="003B2CF0"/>
    <w:rsid w:val="003B5851"/>
    <w:rsid w:val="003C7C98"/>
    <w:rsid w:val="004363CA"/>
    <w:rsid w:val="00444B75"/>
    <w:rsid w:val="00464F6D"/>
    <w:rsid w:val="00475BD5"/>
    <w:rsid w:val="00491DC7"/>
    <w:rsid w:val="00497694"/>
    <w:rsid w:val="004C29EB"/>
    <w:rsid w:val="004D1EC2"/>
    <w:rsid w:val="004E1B0F"/>
    <w:rsid w:val="00525BBB"/>
    <w:rsid w:val="00541355"/>
    <w:rsid w:val="005A1426"/>
    <w:rsid w:val="005D3C9E"/>
    <w:rsid w:val="005E5534"/>
    <w:rsid w:val="005F6EAC"/>
    <w:rsid w:val="0063408E"/>
    <w:rsid w:val="006536E6"/>
    <w:rsid w:val="00663565"/>
    <w:rsid w:val="00665F8E"/>
    <w:rsid w:val="00676954"/>
    <w:rsid w:val="00677197"/>
    <w:rsid w:val="00691DCD"/>
    <w:rsid w:val="006C43D3"/>
    <w:rsid w:val="006D36F0"/>
    <w:rsid w:val="006F2D8A"/>
    <w:rsid w:val="00731B71"/>
    <w:rsid w:val="00741A1A"/>
    <w:rsid w:val="00762453"/>
    <w:rsid w:val="00764C76"/>
    <w:rsid w:val="007967A2"/>
    <w:rsid w:val="007C48A3"/>
    <w:rsid w:val="007D1EB4"/>
    <w:rsid w:val="007D3738"/>
    <w:rsid w:val="007D7BAD"/>
    <w:rsid w:val="007F521E"/>
    <w:rsid w:val="00813211"/>
    <w:rsid w:val="008151EC"/>
    <w:rsid w:val="00822C82"/>
    <w:rsid w:val="00850DE9"/>
    <w:rsid w:val="00865711"/>
    <w:rsid w:val="00885B3D"/>
    <w:rsid w:val="00893B04"/>
    <w:rsid w:val="008A1ED4"/>
    <w:rsid w:val="008D4565"/>
    <w:rsid w:val="008D47D8"/>
    <w:rsid w:val="009175E2"/>
    <w:rsid w:val="00963A5A"/>
    <w:rsid w:val="00964D71"/>
    <w:rsid w:val="0097778A"/>
    <w:rsid w:val="00981CCE"/>
    <w:rsid w:val="00983321"/>
    <w:rsid w:val="00986969"/>
    <w:rsid w:val="009D76A7"/>
    <w:rsid w:val="009E2A2B"/>
    <w:rsid w:val="009E7C7F"/>
    <w:rsid w:val="00A273A6"/>
    <w:rsid w:val="00A513B5"/>
    <w:rsid w:val="00A80D92"/>
    <w:rsid w:val="00AA28A6"/>
    <w:rsid w:val="00AA3A4B"/>
    <w:rsid w:val="00AA5096"/>
    <w:rsid w:val="00AB526F"/>
    <w:rsid w:val="00AB557C"/>
    <w:rsid w:val="00AF4E5A"/>
    <w:rsid w:val="00B61DC9"/>
    <w:rsid w:val="00BA23E5"/>
    <w:rsid w:val="00BA4227"/>
    <w:rsid w:val="00BD1184"/>
    <w:rsid w:val="00C13B75"/>
    <w:rsid w:val="00C344C5"/>
    <w:rsid w:val="00C361B8"/>
    <w:rsid w:val="00C67F6A"/>
    <w:rsid w:val="00CB3F9C"/>
    <w:rsid w:val="00D32D4C"/>
    <w:rsid w:val="00D35C36"/>
    <w:rsid w:val="00D62814"/>
    <w:rsid w:val="00DC64C3"/>
    <w:rsid w:val="00E14E67"/>
    <w:rsid w:val="00E16B54"/>
    <w:rsid w:val="00E65780"/>
    <w:rsid w:val="00ED3F3C"/>
    <w:rsid w:val="00ED3FCC"/>
    <w:rsid w:val="00EE04A9"/>
    <w:rsid w:val="00F770D6"/>
    <w:rsid w:val="00FE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825A98"/>
  <w15:docId w15:val="{C33DBC89-8276-46D2-BC7D-4FB4E5F53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6671"/>
    <w:pPr>
      <w:keepNext/>
      <w:keepLines/>
      <w:spacing w:before="240" w:after="80" w:line="276" w:lineRule="auto"/>
      <w:outlineLvl w:val="4"/>
    </w:pPr>
    <w:rPr>
      <w:rFonts w:ascii="Arial" w:hAnsi="Arial" w:cs="Arial"/>
      <w:color w:val="666666"/>
      <w:sz w:val="22"/>
      <w:szCs w:val="22"/>
      <w:lang w:eastAsia="uk-U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6671"/>
    <w:pPr>
      <w:keepNext/>
      <w:keepLines/>
      <w:spacing w:before="240" w:after="80" w:line="276" w:lineRule="auto"/>
      <w:outlineLvl w:val="5"/>
    </w:pPr>
    <w:rPr>
      <w:rFonts w:ascii="Arial" w:hAnsi="Arial" w:cs="Arial"/>
      <w:i/>
      <w:color w:val="666666"/>
      <w:sz w:val="22"/>
      <w:szCs w:val="22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50">
    <w:name w:val="Заголовок 5 Знак"/>
    <w:link w:val="5"/>
    <w:uiPriority w:val="9"/>
    <w:semiHidden/>
    <w:rsid w:val="001E6671"/>
    <w:rPr>
      <w:rFonts w:ascii="Arial" w:hAnsi="Arial" w:cs="Arial"/>
      <w:color w:val="666666"/>
      <w:sz w:val="22"/>
      <w:szCs w:val="22"/>
    </w:rPr>
  </w:style>
  <w:style w:type="character" w:customStyle="1" w:styleId="60">
    <w:name w:val="Заголовок 6 Знак"/>
    <w:link w:val="6"/>
    <w:uiPriority w:val="9"/>
    <w:semiHidden/>
    <w:rsid w:val="001E6671"/>
    <w:rPr>
      <w:rFonts w:ascii="Arial" w:hAnsi="Arial" w:cs="Arial"/>
      <w:i/>
      <w:color w:val="666666"/>
      <w:sz w:val="22"/>
      <w:szCs w:val="22"/>
    </w:rPr>
  </w:style>
  <w:style w:type="character" w:customStyle="1" w:styleId="10">
    <w:name w:val="Заголовок 1 Знак"/>
    <w:link w:val="1"/>
    <w:uiPriority w:val="9"/>
    <w:rsid w:val="001E6671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uiPriority w:val="9"/>
    <w:rsid w:val="001E6671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uiPriority w:val="9"/>
    <w:rsid w:val="001E6671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uiPriority w:val="9"/>
    <w:rsid w:val="001E6671"/>
    <w:rPr>
      <w:rFonts w:ascii="Antiqua" w:hAnsi="Antiqua"/>
      <w:sz w:val="26"/>
      <w:lang w:eastAsia="ru-RU"/>
    </w:rPr>
  </w:style>
  <w:style w:type="paragraph" w:styleId="af">
    <w:name w:val="annotation text"/>
    <w:basedOn w:val="a"/>
    <w:link w:val="af0"/>
    <w:uiPriority w:val="99"/>
    <w:unhideWhenUsed/>
    <w:rsid w:val="001E6671"/>
    <w:rPr>
      <w:rFonts w:ascii="Arial" w:hAnsi="Arial" w:cs="Arial"/>
      <w:sz w:val="20"/>
      <w:lang w:eastAsia="uk-UA"/>
    </w:rPr>
  </w:style>
  <w:style w:type="character" w:customStyle="1" w:styleId="af0">
    <w:name w:val="Текст примітки Знак"/>
    <w:link w:val="af"/>
    <w:uiPriority w:val="99"/>
    <w:rsid w:val="001E6671"/>
    <w:rPr>
      <w:rFonts w:ascii="Arial" w:hAnsi="Arial" w:cs="Arial"/>
    </w:rPr>
  </w:style>
  <w:style w:type="character" w:customStyle="1" w:styleId="a8">
    <w:name w:val="Верхній колонтитул Знак"/>
    <w:link w:val="a7"/>
    <w:uiPriority w:val="99"/>
    <w:rsid w:val="001E6671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1E6671"/>
    <w:rPr>
      <w:rFonts w:ascii="Antiqua" w:hAnsi="Antiqua"/>
      <w:sz w:val="26"/>
      <w:lang w:eastAsia="ru-RU"/>
    </w:rPr>
  </w:style>
  <w:style w:type="paragraph" w:styleId="af1">
    <w:name w:val="Title"/>
    <w:basedOn w:val="a"/>
    <w:next w:val="a"/>
    <w:link w:val="af2"/>
    <w:uiPriority w:val="10"/>
    <w:qFormat/>
    <w:rsid w:val="001E6671"/>
    <w:pPr>
      <w:keepNext/>
      <w:keepLines/>
      <w:spacing w:after="60" w:line="276" w:lineRule="auto"/>
    </w:pPr>
    <w:rPr>
      <w:rFonts w:ascii="Arial" w:hAnsi="Arial" w:cs="Arial"/>
      <w:sz w:val="52"/>
      <w:szCs w:val="52"/>
      <w:lang w:eastAsia="uk-UA"/>
    </w:rPr>
  </w:style>
  <w:style w:type="character" w:customStyle="1" w:styleId="af2">
    <w:name w:val="Назва Знак"/>
    <w:link w:val="af1"/>
    <w:uiPriority w:val="10"/>
    <w:rsid w:val="001E6671"/>
    <w:rPr>
      <w:rFonts w:ascii="Arial" w:hAnsi="Arial" w:cs="Arial"/>
      <w:sz w:val="52"/>
      <w:szCs w:val="52"/>
    </w:rPr>
  </w:style>
  <w:style w:type="paragraph" w:styleId="af3">
    <w:name w:val="Subtitle"/>
    <w:basedOn w:val="a"/>
    <w:next w:val="a"/>
    <w:link w:val="af4"/>
    <w:uiPriority w:val="11"/>
    <w:qFormat/>
    <w:rsid w:val="001E6671"/>
    <w:pPr>
      <w:keepNext/>
      <w:keepLines/>
      <w:spacing w:after="320" w:line="276" w:lineRule="auto"/>
    </w:pPr>
    <w:rPr>
      <w:rFonts w:ascii="Arial" w:hAnsi="Arial" w:cs="Arial"/>
      <w:color w:val="666666"/>
      <w:sz w:val="30"/>
      <w:szCs w:val="30"/>
      <w:lang w:eastAsia="uk-UA"/>
    </w:rPr>
  </w:style>
  <w:style w:type="character" w:customStyle="1" w:styleId="af4">
    <w:name w:val="Підзаголовок Знак"/>
    <w:link w:val="af3"/>
    <w:uiPriority w:val="11"/>
    <w:rsid w:val="001E6671"/>
    <w:rPr>
      <w:rFonts w:ascii="Arial" w:hAnsi="Arial" w:cs="Arial"/>
      <w:color w:val="666666"/>
      <w:sz w:val="30"/>
      <w:szCs w:val="30"/>
    </w:rPr>
  </w:style>
  <w:style w:type="paragraph" w:styleId="af5">
    <w:name w:val="annotation subject"/>
    <w:basedOn w:val="af"/>
    <w:next w:val="af"/>
    <w:link w:val="af6"/>
    <w:uiPriority w:val="99"/>
    <w:unhideWhenUsed/>
    <w:rsid w:val="001E6671"/>
    <w:rPr>
      <w:b/>
      <w:bCs/>
    </w:rPr>
  </w:style>
  <w:style w:type="character" w:customStyle="1" w:styleId="af6">
    <w:name w:val="Тема примітки Знак"/>
    <w:link w:val="af5"/>
    <w:uiPriority w:val="99"/>
    <w:rsid w:val="001E6671"/>
    <w:rPr>
      <w:rFonts w:ascii="Arial" w:hAnsi="Arial" w:cs="Arial"/>
      <w:b/>
      <w:bCs/>
    </w:rPr>
  </w:style>
  <w:style w:type="paragraph" w:styleId="af7">
    <w:name w:val="Balloon Text"/>
    <w:basedOn w:val="a"/>
    <w:link w:val="af8"/>
    <w:uiPriority w:val="99"/>
    <w:unhideWhenUsed/>
    <w:rsid w:val="001E6671"/>
    <w:rPr>
      <w:rFonts w:ascii="Segoe UI" w:hAnsi="Segoe UI" w:cs="Segoe UI"/>
      <w:sz w:val="18"/>
      <w:szCs w:val="18"/>
      <w:lang w:eastAsia="uk-UA"/>
    </w:rPr>
  </w:style>
  <w:style w:type="character" w:customStyle="1" w:styleId="af8">
    <w:name w:val="Текст у виносці Знак"/>
    <w:link w:val="af7"/>
    <w:uiPriority w:val="99"/>
    <w:rsid w:val="001E6671"/>
    <w:rPr>
      <w:rFonts w:ascii="Segoe UI" w:hAnsi="Segoe UI" w:cs="Segoe UI"/>
      <w:sz w:val="18"/>
      <w:szCs w:val="18"/>
    </w:rPr>
  </w:style>
  <w:style w:type="paragraph" w:styleId="af9">
    <w:name w:val="List Paragraph"/>
    <w:basedOn w:val="a"/>
    <w:uiPriority w:val="34"/>
    <w:qFormat/>
    <w:rsid w:val="001E6671"/>
    <w:pPr>
      <w:spacing w:line="276" w:lineRule="auto"/>
      <w:ind w:left="720"/>
      <w:contextualSpacing/>
    </w:pPr>
    <w:rPr>
      <w:rFonts w:ascii="Arial" w:hAnsi="Arial" w:cs="Arial"/>
      <w:sz w:val="22"/>
      <w:szCs w:val="22"/>
      <w:lang w:eastAsia="uk-UA"/>
    </w:rPr>
  </w:style>
  <w:style w:type="character" w:styleId="afa">
    <w:name w:val="annotation reference"/>
    <w:uiPriority w:val="99"/>
    <w:unhideWhenUsed/>
    <w:rsid w:val="001E6671"/>
    <w:rPr>
      <w:rFonts w:ascii="Times New Roman" w:hAnsi="Times New Roman" w:cs="Times New Roman" w:hint="default"/>
      <w:sz w:val="16"/>
      <w:szCs w:val="16"/>
    </w:rPr>
  </w:style>
  <w:style w:type="table" w:styleId="afb">
    <w:name w:val="Table Grid"/>
    <w:basedOn w:val="a1"/>
    <w:uiPriority w:val="39"/>
    <w:rsid w:val="001E6671"/>
    <w:rPr>
      <w:rFonts w:ascii="Arial" w:hAnsi="Arial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1E6671"/>
    <w:pPr>
      <w:spacing w:line="276" w:lineRule="auto"/>
    </w:pPr>
    <w:rPr>
      <w:rFonts w:ascii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1E6671"/>
    <w:pPr>
      <w:spacing w:line="276" w:lineRule="auto"/>
    </w:pPr>
    <w:rPr>
      <w:rFonts w:ascii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1E6671"/>
    <w:pPr>
      <w:spacing w:line="276" w:lineRule="auto"/>
    </w:pPr>
    <w:rPr>
      <w:rFonts w:ascii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1E6671"/>
    <w:pPr>
      <w:spacing w:line="276" w:lineRule="auto"/>
    </w:pPr>
    <w:rPr>
      <w:rFonts w:ascii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1E6671"/>
    <w:pPr>
      <w:spacing w:line="276" w:lineRule="auto"/>
    </w:pPr>
    <w:rPr>
      <w:rFonts w:ascii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c">
    <w:name w:val="Стиль"/>
    <w:basedOn w:val="TableNormal1"/>
    <w:rsid w:val="001E667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1">
    <w:name w:val="Стиль4"/>
    <w:basedOn w:val="TableNormal1"/>
    <w:rsid w:val="001E667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Стиль3"/>
    <w:basedOn w:val="TableNormal2"/>
    <w:rsid w:val="001E667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Стиль2"/>
    <w:basedOn w:val="TableNormal3"/>
    <w:rsid w:val="001E667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Стиль1"/>
    <w:basedOn w:val="TableNormal3"/>
    <w:rsid w:val="001E667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12">
    <w:name w:val="Підпис1"/>
    <w:basedOn w:val="a"/>
    <w:rsid w:val="00AA3A4B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customStyle="1" w:styleId="st131">
    <w:name w:val="st131"/>
    <w:uiPriority w:val="99"/>
    <w:rsid w:val="00C344C5"/>
    <w:rPr>
      <w:i/>
      <w:iCs/>
      <w:color w:val="0000FF"/>
    </w:rPr>
  </w:style>
  <w:style w:type="character" w:customStyle="1" w:styleId="st46">
    <w:name w:val="st46"/>
    <w:uiPriority w:val="99"/>
    <w:rsid w:val="00C344C5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50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20419</Words>
  <Characters>11639</Characters>
  <Application>Microsoft Office Word</Application>
  <DocSecurity>0</DocSecurity>
  <Lines>96</Lines>
  <Paragraphs>63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Веретюк Ольга Іванівна</dc:creator>
  <cp:lastModifiedBy>Веретюк Ольга Іванівна</cp:lastModifiedBy>
  <cp:revision>5</cp:revision>
  <cp:lastPrinted>2002-04-19T13:13:00Z</cp:lastPrinted>
  <dcterms:created xsi:type="dcterms:W3CDTF">2023-12-09T20:15:00Z</dcterms:created>
  <dcterms:modified xsi:type="dcterms:W3CDTF">2023-12-09T20:21:00Z</dcterms:modified>
</cp:coreProperties>
</file>