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A79" w:rsidRPr="00E36D49" w:rsidRDefault="00DE0A79" w:rsidP="00E36D49">
      <w:pPr>
        <w:ind w:left="8496"/>
        <w:rPr>
          <w:rFonts w:ascii="Times New Roman" w:hAnsi="Times New Roman"/>
          <w:sz w:val="24"/>
          <w:szCs w:val="24"/>
        </w:rPr>
      </w:pPr>
      <w:r w:rsidRPr="00E36D49">
        <w:rPr>
          <w:rFonts w:ascii="Times New Roman" w:hAnsi="Times New Roman"/>
          <w:sz w:val="24"/>
          <w:szCs w:val="24"/>
        </w:rPr>
        <w:t>Додаток 22</w:t>
      </w:r>
      <w:r w:rsidRPr="00E36D49">
        <w:rPr>
          <w:rFonts w:ascii="Times New Roman" w:hAnsi="Times New Roman"/>
          <w:sz w:val="24"/>
          <w:szCs w:val="24"/>
        </w:rPr>
        <w:br/>
        <w:t>до Порядку казначейського</w:t>
      </w:r>
      <w:r w:rsidRPr="00E36D49">
        <w:rPr>
          <w:rFonts w:ascii="Times New Roman" w:hAnsi="Times New Roman"/>
          <w:sz w:val="24"/>
          <w:szCs w:val="24"/>
        </w:rPr>
        <w:br/>
        <w:t>обслуговування місцевих бюджетів</w:t>
      </w:r>
      <w:r w:rsidR="00E36D49" w:rsidRPr="00E36D49">
        <w:rPr>
          <w:rFonts w:ascii="Times New Roman" w:hAnsi="Times New Roman"/>
          <w:sz w:val="24"/>
          <w:szCs w:val="24"/>
        </w:rPr>
        <w:br/>
        <w:t>(у редакції наказу</w:t>
      </w:r>
      <w:r w:rsidR="00E36D49" w:rsidRPr="00E36D49">
        <w:rPr>
          <w:rFonts w:ascii="Times New Roman" w:hAnsi="Times New Roman"/>
          <w:sz w:val="24"/>
          <w:szCs w:val="24"/>
        </w:rPr>
        <w:br/>
        <w:t>Міністерства фінансів України</w:t>
      </w:r>
      <w:r w:rsidR="00E36D49" w:rsidRPr="00E36D49">
        <w:rPr>
          <w:rFonts w:ascii="Times New Roman" w:hAnsi="Times New Roman"/>
          <w:sz w:val="24"/>
          <w:szCs w:val="24"/>
        </w:rPr>
        <w:br/>
        <w:t>від 30 грудня 2022 року № 477)</w:t>
      </w:r>
      <w:r w:rsidRPr="00E36D49">
        <w:rPr>
          <w:rFonts w:ascii="Times New Roman" w:hAnsi="Times New Roman"/>
          <w:sz w:val="24"/>
          <w:szCs w:val="24"/>
        </w:rPr>
        <w:br/>
        <w:t>(пункт 8.5 глави 8)</w:t>
      </w:r>
    </w:p>
    <w:p w:rsidR="00DE0A79" w:rsidRPr="00F520B5" w:rsidRDefault="007206A9" w:rsidP="004D2846">
      <w:pPr>
        <w:pStyle w:val="Ch60"/>
        <w:spacing w:before="510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Довідка</w:t>
      </w:r>
      <w:r w:rsidR="00DE0A79" w:rsidRPr="00F520B5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 w:rsidR="00DE0A7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DE0A79" w:rsidRPr="00F520B5">
        <w:rPr>
          <w:rFonts w:ascii="Times New Roman" w:hAnsi="Times New Roman" w:cs="Times New Roman"/>
          <w:w w:val="100"/>
          <w:sz w:val="24"/>
          <w:szCs w:val="24"/>
        </w:rPr>
        <w:t>операції</w:t>
      </w:r>
      <w:r w:rsidR="00DE0A7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DE0A79" w:rsidRPr="00F520B5">
        <w:rPr>
          <w:rFonts w:ascii="Times New Roman" w:hAnsi="Times New Roman" w:cs="Times New Roman"/>
          <w:w w:val="100"/>
          <w:sz w:val="24"/>
          <w:szCs w:val="24"/>
        </w:rPr>
        <w:t>в</w:t>
      </w:r>
      <w:r w:rsidR="00DE0A7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DE0A79" w:rsidRPr="00F520B5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 w:rsidR="00DE0A79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DE0A79" w:rsidRPr="00F520B5">
        <w:rPr>
          <w:rFonts w:ascii="Times New Roman" w:hAnsi="Times New Roman" w:cs="Times New Roman"/>
          <w:w w:val="100"/>
          <w:sz w:val="24"/>
          <w:szCs w:val="24"/>
        </w:rPr>
        <w:t>валюті</w:t>
      </w:r>
    </w:p>
    <w:p w:rsidR="00DE0A79" w:rsidRPr="00F520B5" w:rsidRDefault="00DE0A79" w:rsidP="004D2846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__________________________________________</w:t>
      </w:r>
    </w:p>
    <w:p w:rsidR="00DE0A79" w:rsidRPr="00F520B5" w:rsidRDefault="00DE0A79" w:rsidP="004D2846">
      <w:pPr>
        <w:pStyle w:val="Ch6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DE0A79" w:rsidRPr="00AA3F95" w:rsidRDefault="00DE0A79" w:rsidP="004D2846">
      <w:pPr>
        <w:pStyle w:val="StrokeCh6"/>
        <w:ind w:left="4960" w:right="5574"/>
        <w:rPr>
          <w:rFonts w:ascii="Times New Roman" w:hAnsi="Times New Roman" w:cs="Times New Roman"/>
          <w:w w:val="100"/>
          <w:sz w:val="20"/>
          <w:szCs w:val="20"/>
        </w:rPr>
      </w:pPr>
      <w:r w:rsidRPr="00AA3F95">
        <w:rPr>
          <w:rFonts w:ascii="Times New Roman" w:hAnsi="Times New Roman" w:cs="Times New Roman"/>
          <w:w w:val="100"/>
          <w:sz w:val="20"/>
          <w:szCs w:val="20"/>
        </w:rPr>
        <w:t>(місяць)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1061"/>
        <w:gridCol w:w="373"/>
        <w:gridCol w:w="373"/>
        <w:gridCol w:w="373"/>
        <w:gridCol w:w="373"/>
        <w:gridCol w:w="373"/>
        <w:gridCol w:w="372"/>
        <w:gridCol w:w="372"/>
        <w:gridCol w:w="372"/>
        <w:gridCol w:w="372"/>
        <w:gridCol w:w="372"/>
        <w:gridCol w:w="2301"/>
        <w:gridCol w:w="1520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69"/>
      </w:tblGrid>
      <w:tr w:rsidR="00DE0A79" w:rsidRPr="00AA3F95" w:rsidTr="004A4D90">
        <w:trPr>
          <w:trHeight w:val="60"/>
        </w:trPr>
        <w:tc>
          <w:tcPr>
            <w:tcW w:w="5000" w:type="pct"/>
            <w:gridSpan w:val="24"/>
            <w:tcBorders>
              <w:bottom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Дані розпорядника (одержувача) бюджетних коштів</w:t>
            </w:r>
          </w:p>
        </w:tc>
      </w:tr>
      <w:tr w:rsidR="00DE0A79" w:rsidRPr="00AA3F95" w:rsidTr="004A4D90">
        <w:trPr>
          <w:trHeight w:val="60"/>
        </w:trPr>
        <w:tc>
          <w:tcPr>
            <w:tcW w:w="3771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Код за ЄДРПОУ клієнта</w:t>
            </w: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(розпорядника </w:t>
            </w: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(одержувача)</w:t>
            </w: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бюджетних коштів)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79" w:rsidRPr="00AA3F95" w:rsidTr="004A4D90">
        <w:trPr>
          <w:trHeight w:val="60"/>
        </w:trPr>
        <w:tc>
          <w:tcPr>
            <w:tcW w:w="326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Клієнт</w:t>
            </w: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(найменування розпорядника </w:t>
            </w: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(одержувача)</w:t>
            </w: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бюджетних коштів)</w:t>
            </w:r>
          </w:p>
        </w:tc>
        <w:tc>
          <w:tcPr>
            <w:tcW w:w="17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79" w:rsidRPr="00AA3F95" w:rsidTr="004A4D90">
        <w:trPr>
          <w:trHeight w:val="6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ОДКСУ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97" w:type="pct"/>
            <w:gridSpan w:val="7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Назва</w:t>
            </w:r>
          </w:p>
        </w:tc>
      </w:tr>
      <w:tr w:rsidR="00DE0A79" w:rsidRPr="00AA3F95" w:rsidTr="004A4D90">
        <w:trPr>
          <w:trHeight w:val="129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Бюджет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Назва</w:t>
            </w:r>
          </w:p>
        </w:tc>
      </w:tr>
      <w:tr w:rsidR="00DE0A79" w:rsidRPr="00AA3F95" w:rsidTr="004A4D90">
        <w:trPr>
          <w:trHeight w:val="6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КВК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620" w:type="pct"/>
            <w:gridSpan w:val="8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Назва</w:t>
            </w:r>
          </w:p>
        </w:tc>
      </w:tr>
      <w:tr w:rsidR="00DE0A79" w:rsidRPr="00AA3F95" w:rsidTr="004A4D90">
        <w:trPr>
          <w:trHeight w:val="60"/>
        </w:trPr>
        <w:tc>
          <w:tcPr>
            <w:tcW w:w="4262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Код розпорядника (одержувача) бюджетних коштів відповідно до Єдиного реєстру розпорядників бюджетних коштів </w:t>
            </w: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 xml:space="preserve">та одержувачів бюджетних коштів 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79" w:rsidRPr="00AA3F95" w:rsidTr="004A4D90">
        <w:trPr>
          <w:trHeight w:val="60"/>
        </w:trPr>
        <w:tc>
          <w:tcPr>
            <w:tcW w:w="4877" w:type="pct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Рівень розпорядника (одержувача) бюджетних коштів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79" w:rsidRPr="00AA3F95" w:rsidTr="004A4D90">
        <w:trPr>
          <w:trHeight w:val="6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КПКВК / ТПКВКМБ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29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Назва</w:t>
            </w:r>
          </w:p>
        </w:tc>
      </w:tr>
      <w:tr w:rsidR="00DE0A79" w:rsidRPr="00AA3F95" w:rsidTr="004A4D90">
        <w:trPr>
          <w:trHeight w:val="60"/>
        </w:trPr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Фонд</w:t>
            </w: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</w:t>
            </w: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43" w:type="pct"/>
            <w:gridSpan w:val="9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2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Назва</w:t>
            </w:r>
          </w:p>
        </w:tc>
      </w:tr>
    </w:tbl>
    <w:p w:rsidR="00DE0A79" w:rsidRPr="00F520B5" w:rsidRDefault="00DE0A79" w:rsidP="004D2846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4"/>
        <w:gridCol w:w="1419"/>
        <w:gridCol w:w="1939"/>
        <w:gridCol w:w="1564"/>
        <w:gridCol w:w="1939"/>
        <w:gridCol w:w="1716"/>
        <w:gridCol w:w="1640"/>
        <w:gridCol w:w="1637"/>
      </w:tblGrid>
      <w:tr w:rsidR="00DE0A79" w:rsidRPr="00AA3F95" w:rsidTr="00AA3F95">
        <w:trPr>
          <w:trHeight w:val="60"/>
          <w:tblHeader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Код класифікації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Залишок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на початок місяця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грн, коп.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Перераховано залишок за місяць грн, коп.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Отримано залишок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 місяць</w:t>
            </w: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  <w:vertAlign w:val="superscript"/>
              </w:rPr>
              <w:t>2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грн, коп.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Надійшло коштів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 місяць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грн, коп.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Касові видатки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 місяць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грн, коп.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Залишок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на кінець місяця</w:t>
            </w:r>
          </w:p>
          <w:p w:rsidR="00DE0A79" w:rsidRPr="00AA3F95" w:rsidRDefault="00DE0A79" w:rsidP="00AA3F95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w w:val="100"/>
                <w:sz w:val="20"/>
                <w:szCs w:val="20"/>
              </w:rPr>
              <w:t>грн, коп.</w:t>
            </w:r>
          </w:p>
        </w:tc>
      </w:tr>
      <w:tr w:rsidR="00DE0A79" w:rsidRPr="00AA3F95" w:rsidTr="004A4D90">
        <w:trPr>
          <w:trHeight w:val="60"/>
          <w:tblHeader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1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2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3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4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5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6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7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E0A79" w:rsidRPr="00AA3F95" w:rsidRDefault="00DE0A79" w:rsidP="004A4D90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w w:val="100"/>
                <w:sz w:val="20"/>
                <w:szCs w:val="20"/>
              </w:rPr>
              <w:t>8</w:t>
            </w:r>
          </w:p>
        </w:tc>
      </w:tr>
      <w:tr w:rsidR="00DE0A79" w:rsidRPr="00AA3F95" w:rsidTr="004A4D90">
        <w:trPr>
          <w:trHeight w:val="6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Залишок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79" w:rsidRPr="00AA3F95" w:rsidTr="004A4D90">
        <w:trPr>
          <w:trHeight w:val="6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79" w:rsidRPr="00AA3F95" w:rsidTr="004A4D90">
        <w:trPr>
          <w:trHeight w:val="6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Надходження коштів - усього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DE0A79" w:rsidRPr="00AA3F95" w:rsidTr="004A4D90">
        <w:trPr>
          <w:trHeight w:val="6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 xml:space="preserve">за кодами класифікації доходів бюджету 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DE0A79" w:rsidRPr="00AA3F95" w:rsidTr="004A4D90">
        <w:trPr>
          <w:trHeight w:val="6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......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DE0A79" w:rsidRPr="00AA3F95" w:rsidTr="004A4D90">
        <w:trPr>
          <w:trHeight w:val="6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b/>
                <w:bCs/>
                <w:spacing w:val="0"/>
                <w:sz w:val="20"/>
                <w:szCs w:val="20"/>
              </w:rPr>
              <w:t>Видатки та надання кредитів - усього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</w:tr>
      <w:tr w:rsidR="00DE0A79" w:rsidRPr="00AA3F95" w:rsidTr="004A4D90">
        <w:trPr>
          <w:trHeight w:val="60"/>
        </w:trPr>
        <w:tc>
          <w:tcPr>
            <w:tcW w:w="10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у тому числі:</w:t>
            </w:r>
          </w:p>
          <w:p w:rsidR="00DE0A79" w:rsidRPr="00AA3F95" w:rsidRDefault="00DE0A79" w:rsidP="004A4D90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 кодами економічної класифікації видатків бюджету та кодами класифікації кредитування бюджету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AA3F95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×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:rsidR="00DE0A79" w:rsidRPr="00AA3F95" w:rsidRDefault="00DE0A79" w:rsidP="004A4D9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:rsidR="00DE0A79" w:rsidRDefault="00DE0A79" w:rsidP="004D2846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:rsidR="00DE0A79" w:rsidRPr="00EB490B" w:rsidRDefault="00DE0A79" w:rsidP="002E269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</w:t>
      </w:r>
      <w:r>
        <w:rPr>
          <w:rFonts w:ascii="Times New Roman" w:hAnsi="Times New Roman"/>
          <w:sz w:val="20"/>
          <w:szCs w:val="20"/>
        </w:rPr>
        <w:br/>
      </w:r>
      <w:r w:rsidRPr="00EB490B">
        <w:rPr>
          <w:rFonts w:ascii="Times New Roman" w:hAnsi="Times New Roman"/>
          <w:sz w:val="20"/>
          <w:szCs w:val="20"/>
          <w:vertAlign w:val="superscript"/>
        </w:rPr>
        <w:t>1</w:t>
      </w:r>
      <w:r w:rsidRPr="00EB490B">
        <w:rPr>
          <w:rFonts w:ascii="Times New Roman" w:hAnsi="Times New Roman"/>
          <w:sz w:val="20"/>
          <w:szCs w:val="20"/>
        </w:rPr>
        <w:t xml:space="preserve"> Заповнюється за надходженням і використанням коштів, отриманих як плата за послуги (код 02), за іншими джерелами власних надходжень (код 03), іншими надходженнями спеціального фонду (код 01).</w:t>
      </w:r>
      <w:r>
        <w:rPr>
          <w:rFonts w:ascii="Times New Roman" w:hAnsi="Times New Roman"/>
          <w:sz w:val="20"/>
          <w:szCs w:val="20"/>
        </w:rPr>
        <w:br/>
      </w:r>
      <w:r w:rsidRPr="00EB490B">
        <w:rPr>
          <w:rFonts w:ascii="Times New Roman" w:hAnsi="Times New Roman"/>
          <w:sz w:val="20"/>
          <w:szCs w:val="20"/>
          <w:vertAlign w:val="superscript"/>
        </w:rPr>
        <w:t>2</w:t>
      </w:r>
      <w:r w:rsidRPr="00EB490B">
        <w:rPr>
          <w:rFonts w:ascii="Times New Roman" w:hAnsi="Times New Roman"/>
          <w:sz w:val="20"/>
          <w:szCs w:val="20"/>
        </w:rPr>
        <w:t xml:space="preserve"> Заповнюється за коштами, отриманими як плата за послуги. Зазначається сума коштів минулого бюджетного періоду, що була отримана у звітному періоді і не може бути віднесена на збільшення надходжень звітного періоду (року) без розподілу за кодами економічної класифікації видатків бюджету.</w:t>
      </w:r>
    </w:p>
    <w:p w:rsidR="00DE0A79" w:rsidRDefault="00DE0A79" w:rsidP="004D2846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:rsidR="00DE0A79" w:rsidRDefault="00DE0A79" w:rsidP="004D2846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9"/>
        <w:gridCol w:w="4832"/>
        <w:gridCol w:w="5547"/>
      </w:tblGrid>
      <w:tr w:rsidR="00DE0A79" w:rsidRPr="007A7332" w:rsidTr="00A04FAC">
        <w:trPr>
          <w:trHeight w:val="60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Керівник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:rsidR="00DE0A79" w:rsidRPr="007A7332" w:rsidRDefault="00DE0A79" w:rsidP="00A04FAC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A733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DE0A79" w:rsidRPr="007A7332" w:rsidTr="00A04FAC">
        <w:trPr>
          <w:trHeight w:val="60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Головний бухгалтер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Ch62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</w:t>
            </w:r>
          </w:p>
          <w:p w:rsidR="00DE0A79" w:rsidRPr="007A7332" w:rsidRDefault="00DE0A79" w:rsidP="00A04FAC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7A7332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ПРІЗВИЩЕ</w:t>
            </w:r>
          </w:p>
        </w:tc>
      </w:tr>
      <w:tr w:rsidR="00DE0A79" w:rsidRPr="007A7332" w:rsidTr="00A04FAC">
        <w:trPr>
          <w:trHeight w:val="60"/>
        </w:trPr>
        <w:tc>
          <w:tcPr>
            <w:tcW w:w="157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Ch62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F520B5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3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DE0A79" w:rsidRPr="007A7332" w:rsidRDefault="00DE0A79" w:rsidP="00A04FAC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DE0A79" w:rsidRPr="00AA3F95" w:rsidRDefault="00DE0A79" w:rsidP="004D2846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0"/>
          <w:szCs w:val="20"/>
        </w:rPr>
      </w:pPr>
    </w:p>
    <w:p w:rsidR="00DE0A79" w:rsidRDefault="00DE0A79" w:rsidP="00410144">
      <w:pPr>
        <w:pStyle w:val="Ch3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  <w:sectPr w:rsidR="00DE0A79" w:rsidSect="00F3305E">
          <w:headerReference w:type="even" r:id="rId6"/>
          <w:headerReference w:type="default" r:id="rId7"/>
          <w:pgSz w:w="16840" w:h="11900" w:orient="landscape"/>
          <w:pgMar w:top="340" w:right="851" w:bottom="340" w:left="851" w:header="0" w:footer="6" w:gutter="0"/>
          <w:cols w:space="999"/>
          <w:noEndnote/>
          <w:titlePg/>
          <w:docGrid w:linePitch="360"/>
        </w:sectPr>
      </w:pPr>
    </w:p>
    <w:p w:rsidR="00DE0A79" w:rsidRPr="00F520B5" w:rsidRDefault="00DE0A79" w:rsidP="00410144">
      <w:pPr>
        <w:pStyle w:val="Ch3"/>
        <w:ind w:left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lastRenderedPageBreak/>
        <w:t>Порядок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Довідки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операції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валюті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ЄДРПОУ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клієнта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(одержувача)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коштів)»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державного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підприємств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організацій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«Клієнт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(одержувача)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коштів)»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офіційне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(одержувача)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«ОДКСУ»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найменування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органу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Казначейства.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«Бюджет»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назва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</w:p>
    <w:p w:rsidR="00DE0A79" w:rsidRPr="00DB490C" w:rsidRDefault="00DE0A79" w:rsidP="00DB490C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DB490C">
        <w:rPr>
          <w:rFonts w:ascii="Times New Roman" w:hAnsi="Times New Roman"/>
          <w:sz w:val="24"/>
          <w:szCs w:val="24"/>
        </w:rPr>
        <w:t>У рядку «КВК» зазначаються код та найменування згідно з відомчою класифікацією видатків та кредитування державного бюджету або Типовою відомчою класифікацією видатків та кредитування місцевих бюджетів</w:t>
      </w:r>
      <w:r w:rsidR="00DB490C" w:rsidRPr="00DB490C">
        <w:rPr>
          <w:rFonts w:ascii="Times New Roman" w:hAnsi="Times New Roman"/>
          <w:sz w:val="24"/>
          <w:szCs w:val="24"/>
        </w:rPr>
        <w:t>, затвердженою наказом Міністерства фінансів України від 20 вересня 2017 року № 793</w:t>
      </w:r>
      <w:r w:rsidRPr="00DB490C">
        <w:rPr>
          <w:rFonts w:ascii="Times New Roman" w:hAnsi="Times New Roman"/>
          <w:sz w:val="24"/>
          <w:szCs w:val="24"/>
        </w:rPr>
        <w:t>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(одержувача)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одержувачів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зазначається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(одержувача)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присвоєний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Єдиного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реєстру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одержувачів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«Рівень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розпорядника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(одержувача)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відповідно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нормативно-правових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актів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фінансів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України.</w:t>
      </w:r>
    </w:p>
    <w:p w:rsidR="00DE0A79" w:rsidRPr="0009105E" w:rsidRDefault="00DE0A79" w:rsidP="0009105E">
      <w:pPr>
        <w:spacing w:after="0"/>
        <w:ind w:firstLine="283"/>
        <w:jc w:val="both"/>
        <w:rPr>
          <w:rFonts w:ascii="Times New Roman" w:hAnsi="Times New Roman"/>
          <w:sz w:val="24"/>
          <w:szCs w:val="24"/>
        </w:rPr>
      </w:pPr>
      <w:r w:rsidRPr="0009105E">
        <w:rPr>
          <w:rFonts w:ascii="Times New Roman" w:hAnsi="Times New Roman"/>
          <w:sz w:val="24"/>
          <w:szCs w:val="24"/>
        </w:rPr>
        <w:t>У рядку «КПКВК» зазначаються код та найменування згідно з програмною класифікацією видатків та кредитування місцевих бюджетів (код та найменування згідно з Типовою програмною класифікацією видатків та кредитування місцевих бюджетів</w:t>
      </w:r>
      <w:r w:rsidR="0009105E" w:rsidRPr="0009105E">
        <w:rPr>
          <w:rFonts w:ascii="Times New Roman" w:hAnsi="Times New Roman"/>
          <w:sz w:val="24"/>
          <w:szCs w:val="24"/>
        </w:rPr>
        <w:t>, затвердженою наказом Міністерства фінансів України від 20 вересня 2017 року № 793 (у редакції наказу Міністерства фінансів України від 17 грудня 2020 року № 781)</w:t>
      </w:r>
      <w:r w:rsidRPr="0009105E">
        <w:rPr>
          <w:rFonts w:ascii="Times New Roman" w:hAnsi="Times New Roman"/>
          <w:sz w:val="24"/>
          <w:szCs w:val="24"/>
        </w:rPr>
        <w:t>).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Рядок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«Фонд»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використанням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національній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валюті,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отриманих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плата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послуги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02),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іншими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джерелами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власних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03),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іншими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надходженнями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фонду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(код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01).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графах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«Залишок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початок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місяця»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«Залишок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кінець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місяця»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відображається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сума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залишку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рахунку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банку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початок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кінець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місяця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іншими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надходженнями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спеціального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фонду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розрізі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кредитування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залишками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власних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бюджетних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установ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графи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заповнюються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без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Графа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«Перераховано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залишок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місяць»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«Залишок»,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якому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відображається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сума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залишку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минулого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періо­ду,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була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перерахована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звітному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періоді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(повернена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установі,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надала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ці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кошти)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є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касовими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видатками,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також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може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бути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віднесена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зменшення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звітного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року.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Графа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«Отримано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залишок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місяць»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«Залишок»,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якому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відображається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сума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залишку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минулого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8C3CE2">
        <w:rPr>
          <w:rFonts w:ascii="Times New Roman" w:hAnsi="Times New Roman" w:cs="Times New Roman"/>
          <w:w w:val="100"/>
          <w:sz w:val="24"/>
          <w:szCs w:val="24"/>
        </w:rPr>
        <w:t>періо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ду,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що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отримана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як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плата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послуги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звітному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періоді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може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бути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віднесена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збільшення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надходжень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звітного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періоду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(року).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Сума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отриманого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залишку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відображається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без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розподілу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кодами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Графа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«Надійшло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місяць»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«Надходження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коштів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усього»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розрізі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доходів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</w:p>
    <w:p w:rsidR="00DE0A79" w:rsidRPr="00F520B5" w:rsidRDefault="00DE0A79" w:rsidP="00410144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F520B5">
        <w:rPr>
          <w:rFonts w:ascii="Times New Roman" w:hAnsi="Times New Roman" w:cs="Times New Roman"/>
          <w:w w:val="100"/>
          <w:sz w:val="24"/>
          <w:szCs w:val="24"/>
        </w:rPr>
        <w:t>Графа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«Касові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місяць»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заповнюється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рядку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«Видатки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надання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кредитів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-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усього»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розрізі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економічної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видатків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кодів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класифікації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кредитування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F520B5">
        <w:rPr>
          <w:rFonts w:ascii="Times New Roman" w:hAnsi="Times New Roman" w:cs="Times New Roman"/>
          <w:w w:val="100"/>
          <w:sz w:val="24"/>
          <w:szCs w:val="24"/>
        </w:rPr>
        <w:t>бюджету.</w:t>
      </w:r>
    </w:p>
    <w:p w:rsidR="00DE0A79" w:rsidRDefault="00DE0A79"/>
    <w:p w:rsidR="00D863F6" w:rsidRPr="00594A40" w:rsidRDefault="00594A40" w:rsidP="00D863F6">
      <w:pPr>
        <w:ind w:firstLine="283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  <w:r w:rsidRPr="00594A40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 xml:space="preserve">{Порядок доповнено новим Додатком 22 згідно з </w:t>
      </w:r>
      <w:r w:rsidRPr="00594A40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Наказом Міністерства фінансів </w:t>
      </w:r>
      <w:r w:rsidRPr="00594A40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23 від 29.01.2016</w:t>
      </w:r>
      <w:r w:rsidRPr="00594A40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 в редакції</w:t>
      </w:r>
      <w:r w:rsidRPr="00594A40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Наказу Міністерства фінансів </w:t>
      </w:r>
      <w:r w:rsidRPr="00594A40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617 від 14.07.2016</w:t>
      </w:r>
      <w:r w:rsidRPr="00594A40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; </w:t>
      </w:r>
      <w:r w:rsidRPr="00594A40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із змінами, внесеними згідно з</w:t>
      </w:r>
      <w:r w:rsidRPr="00594A40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Наказом Міністерства фінансів </w:t>
      </w:r>
      <w:r w:rsidRPr="00594A40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222 від 19.04.2021</w:t>
      </w:r>
      <w:r w:rsidRPr="00594A40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;</w:t>
      </w:r>
      <w:r w:rsidRPr="00594A40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 в редакції Наказу Міністерс</w:t>
      </w:r>
      <w:bookmarkStart w:id="0" w:name="_GoBack"/>
      <w:bookmarkEnd w:id="0"/>
      <w:r w:rsidRPr="00594A40">
        <w:rPr>
          <w:rStyle w:val="st121"/>
          <w:rFonts w:ascii="Times New Roman" w:hAnsi="Times New Roman"/>
          <w:color w:val="808080" w:themeColor="background1" w:themeShade="80"/>
          <w:sz w:val="24"/>
          <w:szCs w:val="24"/>
        </w:rPr>
        <w:t xml:space="preserve">тва фінансів </w:t>
      </w:r>
      <w:r w:rsidRPr="00594A40">
        <w:rPr>
          <w:rStyle w:val="st131"/>
          <w:rFonts w:ascii="Times New Roman" w:hAnsi="Times New Roman"/>
          <w:color w:val="808080" w:themeColor="background1" w:themeShade="80"/>
          <w:sz w:val="24"/>
          <w:szCs w:val="24"/>
        </w:rPr>
        <w:t>№ 477 від 30.12.2022</w:t>
      </w:r>
      <w:r w:rsidRPr="00594A40">
        <w:rPr>
          <w:rStyle w:val="st46"/>
          <w:rFonts w:ascii="Times New Roman" w:hAnsi="Times New Roman"/>
          <w:color w:val="808080" w:themeColor="background1" w:themeShade="80"/>
          <w:sz w:val="24"/>
          <w:szCs w:val="24"/>
        </w:rPr>
        <w:t>}</w:t>
      </w:r>
    </w:p>
    <w:sectPr w:rsidR="00D863F6" w:rsidRPr="00594A40" w:rsidSect="00706181">
      <w:pgSz w:w="11900" w:h="16840"/>
      <w:pgMar w:top="851" w:right="397" w:bottom="851" w:left="397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54" w:rsidRDefault="00B11E54" w:rsidP="00BF1703">
      <w:pPr>
        <w:spacing w:after="0" w:line="240" w:lineRule="auto"/>
      </w:pPr>
      <w:r>
        <w:separator/>
      </w:r>
    </w:p>
  </w:endnote>
  <w:endnote w:type="continuationSeparator" w:id="0">
    <w:p w:rsidR="00B11E54" w:rsidRDefault="00B11E54" w:rsidP="00BF1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54" w:rsidRDefault="00B11E54" w:rsidP="00BF1703">
      <w:pPr>
        <w:spacing w:after="0" w:line="240" w:lineRule="auto"/>
      </w:pPr>
      <w:r>
        <w:separator/>
      </w:r>
    </w:p>
  </w:footnote>
  <w:footnote w:type="continuationSeparator" w:id="0">
    <w:p w:rsidR="00B11E54" w:rsidRDefault="00B11E54" w:rsidP="00BF1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000000"/>
        <w:sz w:val="24"/>
        <w:szCs w:val="24"/>
        <w:lang w:val="x-none" w:eastAsia="ru-RU"/>
      </w:rPr>
      <w:alias w:val="Заголовок"/>
      <w:tag w:val=""/>
      <w:id w:val="1116400235"/>
      <w:placeholder>
        <w:docPart w:val="363F07FE73E04146AD65366AE996FB6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F1703" w:rsidRDefault="00BF1703">
        <w:pPr>
          <w:pStyle w:val="a4"/>
          <w:jc w:val="right"/>
          <w:rPr>
            <w:color w:val="7F7F7F" w:themeColor="text1" w:themeTint="80"/>
          </w:rPr>
        </w:pPr>
        <w:r w:rsidRPr="00BF1703">
          <w:rPr>
            <w:rFonts w:ascii="Times New Roman" w:hAnsi="Times New Roman"/>
            <w:color w:val="000000"/>
            <w:sz w:val="24"/>
            <w:szCs w:val="24"/>
            <w:lang w:val="x-none" w:eastAsia="ru-RU"/>
          </w:rPr>
          <w:t>Продовження додатка 22</w:t>
        </w:r>
      </w:p>
    </w:sdtContent>
  </w:sdt>
  <w:p w:rsidR="00BF1703" w:rsidRDefault="00BF170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  <w:sz w:val="24"/>
        <w:szCs w:val="24"/>
      </w:rPr>
      <w:alias w:val="Заголовок"/>
      <w:tag w:val=""/>
      <w:id w:val="-1716425126"/>
      <w:placeholder>
        <w:docPart w:val="7B2ADEE3A5CA4DFF804EE5539F27DC4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BF1703" w:rsidRPr="00F3305E" w:rsidRDefault="00BF1703">
        <w:pPr>
          <w:pStyle w:val="a4"/>
          <w:jc w:val="right"/>
          <w:rPr>
            <w:rFonts w:ascii="Times New Roman" w:hAnsi="Times New Roman"/>
            <w:color w:val="7F7F7F" w:themeColor="text1" w:themeTint="80"/>
            <w:sz w:val="24"/>
            <w:szCs w:val="24"/>
          </w:rPr>
        </w:pPr>
        <w:r w:rsidRPr="00F3305E">
          <w:rPr>
            <w:rFonts w:ascii="Times New Roman" w:hAnsi="Times New Roman"/>
            <w:color w:val="7F7F7F" w:themeColor="text1" w:themeTint="80"/>
            <w:sz w:val="24"/>
            <w:szCs w:val="24"/>
          </w:rPr>
          <w:t>Продовження додатка 22</w:t>
        </w:r>
      </w:p>
    </w:sdtContent>
  </w:sdt>
  <w:p w:rsidR="00BF1703" w:rsidRDefault="00BF17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46"/>
    <w:rsid w:val="0009105E"/>
    <w:rsid w:val="00214695"/>
    <w:rsid w:val="002E269C"/>
    <w:rsid w:val="00410144"/>
    <w:rsid w:val="004A4D90"/>
    <w:rsid w:val="004D2846"/>
    <w:rsid w:val="004F094A"/>
    <w:rsid w:val="00594A40"/>
    <w:rsid w:val="006533B7"/>
    <w:rsid w:val="00684722"/>
    <w:rsid w:val="006B3BF1"/>
    <w:rsid w:val="00706181"/>
    <w:rsid w:val="007206A9"/>
    <w:rsid w:val="00724994"/>
    <w:rsid w:val="007A7332"/>
    <w:rsid w:val="00817C2E"/>
    <w:rsid w:val="00880FA9"/>
    <w:rsid w:val="008C3CE2"/>
    <w:rsid w:val="008C6232"/>
    <w:rsid w:val="008E177A"/>
    <w:rsid w:val="009553F8"/>
    <w:rsid w:val="00971B9F"/>
    <w:rsid w:val="009A473B"/>
    <w:rsid w:val="00A04FAC"/>
    <w:rsid w:val="00A1194E"/>
    <w:rsid w:val="00AA2049"/>
    <w:rsid w:val="00AA3F95"/>
    <w:rsid w:val="00AF53E1"/>
    <w:rsid w:val="00B11E54"/>
    <w:rsid w:val="00B93613"/>
    <w:rsid w:val="00BF1703"/>
    <w:rsid w:val="00C27A5A"/>
    <w:rsid w:val="00D23F18"/>
    <w:rsid w:val="00D863F6"/>
    <w:rsid w:val="00DB490C"/>
    <w:rsid w:val="00DE0A79"/>
    <w:rsid w:val="00E24F41"/>
    <w:rsid w:val="00E36D49"/>
    <w:rsid w:val="00E507AE"/>
    <w:rsid w:val="00EB490B"/>
    <w:rsid w:val="00F3305E"/>
    <w:rsid w:val="00F42753"/>
    <w:rsid w:val="00F520B5"/>
    <w:rsid w:val="00F71ABE"/>
    <w:rsid w:val="00F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D7D7B3"/>
  <w15:docId w15:val="{EC1C5177-506E-405C-8971-72BFCD6C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846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4D2846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4D2846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4D284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4D2846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4D284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SnoskaSNOSKI">
    <w:name w:val="Snoska_цифрагоризонт (SNOSKI)"/>
    <w:basedOn w:val="a"/>
    <w:uiPriority w:val="99"/>
    <w:rsid w:val="004D2846"/>
    <w:pPr>
      <w:widowControl w:val="0"/>
      <w:pBdr>
        <w:top w:val="single" w:sz="4" w:space="11" w:color="auto"/>
      </w:pBdr>
      <w:tabs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4D2846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4D2846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Ch3">
    <w:name w:val="Простой подзаголовок (Ch_3 Кабмін)"/>
    <w:basedOn w:val="a"/>
    <w:next w:val="a"/>
    <w:uiPriority w:val="99"/>
    <w:rsid w:val="0041014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hAnsi="Pragmatica Bold" w:cs="Pragmatica Bold"/>
      <w:b/>
      <w:bCs/>
      <w:color w:val="000000"/>
      <w:w w:val="90"/>
      <w:sz w:val="18"/>
      <w:szCs w:val="18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06181"/>
    <w:pPr>
      <w:tabs>
        <w:tab w:val="right" w:leader="underscore" w:pos="7710"/>
        <w:tab w:val="right" w:leader="underscore" w:pos="11514"/>
      </w:tabs>
      <w:ind w:firstLine="0"/>
    </w:pPr>
  </w:style>
  <w:style w:type="character" w:customStyle="1" w:styleId="st131">
    <w:name w:val="st131"/>
    <w:uiPriority w:val="99"/>
    <w:rsid w:val="00D863F6"/>
    <w:rPr>
      <w:i/>
      <w:iCs/>
      <w:color w:val="0000FF"/>
    </w:rPr>
  </w:style>
  <w:style w:type="character" w:customStyle="1" w:styleId="st46">
    <w:name w:val="st46"/>
    <w:uiPriority w:val="99"/>
    <w:rsid w:val="00D863F6"/>
    <w:rPr>
      <w:i/>
      <w:iCs/>
      <w:color w:val="000000"/>
    </w:rPr>
  </w:style>
  <w:style w:type="character" w:customStyle="1" w:styleId="st42">
    <w:name w:val="st42"/>
    <w:uiPriority w:val="99"/>
    <w:rsid w:val="00E36D49"/>
    <w:rPr>
      <w:color w:val="000000"/>
    </w:rPr>
  </w:style>
  <w:style w:type="paragraph" w:styleId="a4">
    <w:name w:val="header"/>
    <w:basedOn w:val="a"/>
    <w:link w:val="a5"/>
    <w:uiPriority w:val="99"/>
    <w:unhideWhenUsed/>
    <w:rsid w:val="00BF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BF1703"/>
    <w:rPr>
      <w:rFonts w:ascii="Calibri" w:hAnsi="Calibri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BF17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BF1703"/>
    <w:rPr>
      <w:rFonts w:ascii="Calibri" w:hAnsi="Calibri"/>
      <w:lang w:val="uk-UA" w:eastAsia="uk-UA"/>
    </w:rPr>
  </w:style>
  <w:style w:type="character" w:customStyle="1" w:styleId="st121">
    <w:name w:val="st121"/>
    <w:uiPriority w:val="99"/>
    <w:rsid w:val="00594A40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3F07FE73E04146AD65366AE996FB6D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7192EB0-8B5B-4833-A04F-DC2D30B73C7B}"/>
      </w:docPartPr>
      <w:docPartBody>
        <w:p w:rsidR="009B6790" w:rsidRDefault="000E57EE" w:rsidP="000E57EE">
          <w:pPr>
            <w:pStyle w:val="363F07FE73E04146AD65366AE996FB6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  <w:docPart>
      <w:docPartPr>
        <w:name w:val="7B2ADEE3A5CA4DFF804EE5539F27DC4B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13DD5FF-3ACC-471E-98C6-132DDA9C90BC}"/>
      </w:docPartPr>
      <w:docPartBody>
        <w:p w:rsidR="009B6790" w:rsidRDefault="000E57EE" w:rsidP="000E57EE">
          <w:pPr>
            <w:pStyle w:val="7B2ADEE3A5CA4DFF804EE5539F27DC4B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EE"/>
    <w:rsid w:val="000E57EE"/>
    <w:rsid w:val="00493AFF"/>
    <w:rsid w:val="00574842"/>
    <w:rsid w:val="009B6790"/>
    <w:rsid w:val="00F9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63F07FE73E04146AD65366AE996FB6D">
    <w:name w:val="363F07FE73E04146AD65366AE996FB6D"/>
    <w:rsid w:val="000E57EE"/>
  </w:style>
  <w:style w:type="paragraph" w:customStyle="1" w:styleId="7B2ADEE3A5CA4DFF804EE5539F27DC4B">
    <w:name w:val="7B2ADEE3A5CA4DFF804EE5539F27DC4B"/>
    <w:rsid w:val="000E57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3615</Words>
  <Characters>2062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 22</vt:lpstr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 22</dc:title>
  <dc:subject/>
  <dc:creator/>
  <cp:keywords/>
  <dc:description/>
  <cp:lastModifiedBy>Гопкало Ганна Володимирівна</cp:lastModifiedBy>
  <cp:revision>3</cp:revision>
  <dcterms:created xsi:type="dcterms:W3CDTF">2023-03-13T07:41:00Z</dcterms:created>
  <dcterms:modified xsi:type="dcterms:W3CDTF">2023-03-13T07:41:00Z</dcterms:modified>
</cp:coreProperties>
</file>